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5C" w:rsidRDefault="00C3585C" w:rsidP="00C3585C">
      <w:pPr>
        <w:pStyle w:val="LGAItemNoHeading"/>
        <w:spacing w:before="720"/>
        <w:jc w:val="center"/>
        <w:rPr>
          <w:rFonts w:ascii="Arial" w:hAnsi="Arial" w:cs="Arial"/>
          <w:sz w:val="28"/>
          <w:szCs w:val="28"/>
        </w:rPr>
      </w:pPr>
    </w:p>
    <w:p w:rsidR="00C3585C" w:rsidRDefault="00C3585C" w:rsidP="00C3585C">
      <w:pPr>
        <w:pStyle w:val="LGAItemNoHeading"/>
        <w:spacing w:before="720"/>
        <w:jc w:val="center"/>
        <w:rPr>
          <w:rFonts w:ascii="Arial" w:hAnsi="Arial" w:cs="Arial"/>
          <w:sz w:val="28"/>
          <w:szCs w:val="28"/>
        </w:rPr>
      </w:pPr>
    </w:p>
    <w:p w:rsidR="00C3585C" w:rsidRDefault="00C3585C" w:rsidP="00C3585C">
      <w:pPr>
        <w:pStyle w:val="LGAItemNoHeading"/>
        <w:spacing w:before="720"/>
        <w:jc w:val="center"/>
        <w:rPr>
          <w:rFonts w:ascii="Arial" w:hAnsi="Arial" w:cs="Arial"/>
          <w:sz w:val="28"/>
          <w:szCs w:val="28"/>
        </w:rPr>
      </w:pPr>
    </w:p>
    <w:p w:rsidR="00C3585C" w:rsidRDefault="00C3585C" w:rsidP="00C3585C">
      <w:pPr>
        <w:pStyle w:val="LGAItemNoHeading"/>
        <w:spacing w:before="720"/>
        <w:jc w:val="center"/>
        <w:rPr>
          <w:rFonts w:ascii="Arial" w:hAnsi="Arial" w:cs="Arial"/>
          <w:sz w:val="36"/>
          <w:szCs w:val="36"/>
        </w:rPr>
      </w:pPr>
    </w:p>
    <w:p w:rsidR="00C3585C" w:rsidRDefault="00361355" w:rsidP="00C3585C">
      <w:pPr>
        <w:pStyle w:val="LGAItemNoHeading"/>
        <w:spacing w:before="720"/>
        <w:jc w:val="center"/>
        <w:rPr>
          <w:rFonts w:ascii="Arial" w:hAnsi="Arial" w:cs="Arial"/>
          <w:sz w:val="36"/>
          <w:szCs w:val="36"/>
        </w:rPr>
      </w:pPr>
      <w:r>
        <w:rPr>
          <w:rFonts w:ascii="Arial" w:hAnsi="Arial" w:cs="Arial"/>
          <w:sz w:val="36"/>
          <w:szCs w:val="36"/>
        </w:rPr>
        <w:t>2014/15</w:t>
      </w:r>
      <w:r w:rsidR="00C3585C">
        <w:rPr>
          <w:rFonts w:ascii="Arial" w:hAnsi="Arial" w:cs="Arial"/>
          <w:sz w:val="36"/>
          <w:szCs w:val="36"/>
        </w:rPr>
        <w:t xml:space="preserve"> Performance Report</w:t>
      </w:r>
    </w:p>
    <w:p w:rsidR="00C3585C" w:rsidRDefault="00245A31" w:rsidP="00C3585C">
      <w:pPr>
        <w:pStyle w:val="LGAItemNoHeading"/>
        <w:spacing w:before="720"/>
        <w:jc w:val="center"/>
        <w:rPr>
          <w:rFonts w:ascii="Arial" w:hAnsi="Arial" w:cs="Arial"/>
          <w:sz w:val="36"/>
          <w:szCs w:val="36"/>
        </w:rPr>
      </w:pPr>
      <w:r>
        <w:rPr>
          <w:rFonts w:ascii="Arial" w:hAnsi="Arial" w:cs="Arial"/>
          <w:sz w:val="36"/>
          <w:szCs w:val="36"/>
        </w:rPr>
        <w:t>Six months</w:t>
      </w:r>
      <w:r w:rsidR="00DB12EF">
        <w:rPr>
          <w:rFonts w:ascii="Arial" w:hAnsi="Arial" w:cs="Arial"/>
          <w:sz w:val="36"/>
          <w:szCs w:val="36"/>
        </w:rPr>
        <w:t xml:space="preserve">: </w:t>
      </w:r>
      <w:r>
        <w:rPr>
          <w:rFonts w:ascii="Arial" w:hAnsi="Arial" w:cs="Arial"/>
          <w:sz w:val="36"/>
          <w:szCs w:val="36"/>
        </w:rPr>
        <w:t>April</w:t>
      </w:r>
      <w:r w:rsidR="001E1E76">
        <w:rPr>
          <w:rFonts w:ascii="Arial" w:hAnsi="Arial" w:cs="Arial"/>
          <w:sz w:val="36"/>
          <w:szCs w:val="36"/>
        </w:rPr>
        <w:t xml:space="preserve"> </w:t>
      </w:r>
      <w:r w:rsidR="000F77D2">
        <w:rPr>
          <w:rFonts w:ascii="Arial" w:hAnsi="Arial" w:cs="Arial"/>
          <w:sz w:val="36"/>
          <w:szCs w:val="36"/>
        </w:rPr>
        <w:t xml:space="preserve">– Sept </w:t>
      </w:r>
      <w:r w:rsidR="001E1E76">
        <w:rPr>
          <w:rFonts w:ascii="Arial" w:hAnsi="Arial" w:cs="Arial"/>
          <w:sz w:val="36"/>
          <w:szCs w:val="36"/>
        </w:rPr>
        <w:t>2014</w:t>
      </w:r>
    </w:p>
    <w:p w:rsidR="00C3585C" w:rsidRDefault="00C3585C" w:rsidP="00BA5082">
      <w:pPr>
        <w:spacing w:before="120" w:after="240" w:line="280" w:lineRule="exact"/>
        <w:rPr>
          <w:rFonts w:ascii="Arial" w:hAnsi="Arial" w:cs="Arial"/>
          <w:b/>
          <w:sz w:val="28"/>
          <w:szCs w:val="28"/>
        </w:rPr>
      </w:pPr>
    </w:p>
    <w:p w:rsidR="008852FC" w:rsidRPr="00DB12EF" w:rsidRDefault="00C3585C" w:rsidP="00DB12EF">
      <w:pPr>
        <w:spacing w:before="120" w:after="240" w:line="280" w:lineRule="exact"/>
        <w:rPr>
          <w:rFonts w:ascii="Arial" w:hAnsi="Arial" w:cs="Arial"/>
          <w:b/>
          <w:sz w:val="28"/>
          <w:szCs w:val="28"/>
        </w:rPr>
      </w:pPr>
      <w:r>
        <w:rPr>
          <w:rFonts w:ascii="Arial" w:hAnsi="Arial" w:cs="Arial"/>
          <w:b/>
          <w:sz w:val="28"/>
          <w:szCs w:val="28"/>
        </w:rPr>
        <w:br w:type="page"/>
      </w:r>
      <w:r w:rsidR="00DB12EF">
        <w:rPr>
          <w:rFonts w:ascii="Arial" w:hAnsi="Arial" w:cs="Arial"/>
          <w:b/>
          <w:sz w:val="28"/>
          <w:szCs w:val="28"/>
        </w:rPr>
        <w:lastRenderedPageBreak/>
        <w:t>Introduction</w:t>
      </w:r>
    </w:p>
    <w:p w:rsidR="00CB2DEB" w:rsidRPr="00B756D3" w:rsidRDefault="00DB12EF" w:rsidP="00CB2DEB">
      <w:pPr>
        <w:pStyle w:val="MainText"/>
        <w:spacing w:line="240" w:lineRule="auto"/>
        <w:rPr>
          <w:rFonts w:ascii="Arial" w:hAnsi="Arial" w:cs="Arial"/>
          <w:b/>
          <w:szCs w:val="22"/>
        </w:rPr>
      </w:pPr>
      <w:r w:rsidRPr="00B756D3">
        <w:rPr>
          <w:rFonts w:ascii="Arial" w:hAnsi="Arial" w:cs="Arial"/>
          <w:b/>
          <w:szCs w:val="22"/>
        </w:rPr>
        <w:t>Background</w:t>
      </w:r>
    </w:p>
    <w:p w:rsidR="00B756D3" w:rsidRPr="00B756D3" w:rsidRDefault="00B756D3" w:rsidP="00B756D3">
      <w:pPr>
        <w:rPr>
          <w:rFonts w:ascii="Arial" w:hAnsi="Arial" w:cs="Arial"/>
          <w:sz w:val="22"/>
          <w:szCs w:val="22"/>
        </w:rPr>
      </w:pPr>
    </w:p>
    <w:p w:rsidR="00B756D3" w:rsidRPr="00B756D3" w:rsidRDefault="00CB2DEB" w:rsidP="00B756D3">
      <w:pPr>
        <w:numPr>
          <w:ilvl w:val="0"/>
          <w:numId w:val="22"/>
        </w:numPr>
        <w:rPr>
          <w:rFonts w:ascii="Arial" w:hAnsi="Arial" w:cs="Arial"/>
          <w:sz w:val="22"/>
          <w:szCs w:val="22"/>
        </w:rPr>
      </w:pPr>
      <w:r w:rsidRPr="00B756D3">
        <w:rPr>
          <w:rFonts w:ascii="Arial" w:hAnsi="Arial" w:cs="Arial"/>
          <w:sz w:val="22"/>
          <w:szCs w:val="22"/>
        </w:rPr>
        <w:t>T</w:t>
      </w:r>
      <w:r w:rsidR="00DB12EF" w:rsidRPr="00B756D3">
        <w:rPr>
          <w:rFonts w:ascii="Arial" w:hAnsi="Arial" w:cs="Arial"/>
          <w:sz w:val="22"/>
          <w:szCs w:val="22"/>
        </w:rPr>
        <w:t xml:space="preserve">he annual business plan for </w:t>
      </w:r>
      <w:r w:rsidR="00361355">
        <w:rPr>
          <w:rFonts w:ascii="Arial" w:hAnsi="Arial" w:cs="Arial"/>
          <w:sz w:val="22"/>
          <w:szCs w:val="22"/>
        </w:rPr>
        <w:t>2014/15</w:t>
      </w:r>
      <w:r w:rsidRPr="00B756D3">
        <w:rPr>
          <w:rFonts w:ascii="Arial" w:hAnsi="Arial" w:cs="Arial"/>
          <w:sz w:val="22"/>
          <w:szCs w:val="22"/>
        </w:rPr>
        <w:t xml:space="preserve"> for the LGA was a</w:t>
      </w:r>
      <w:r w:rsidR="00DB12EF" w:rsidRPr="00B756D3">
        <w:rPr>
          <w:rFonts w:ascii="Arial" w:hAnsi="Arial" w:cs="Arial"/>
          <w:sz w:val="22"/>
          <w:szCs w:val="22"/>
        </w:rPr>
        <w:t xml:space="preserve">greed by </w:t>
      </w:r>
      <w:r w:rsidR="006B3745">
        <w:rPr>
          <w:rFonts w:ascii="Arial" w:hAnsi="Arial" w:cs="Arial"/>
          <w:sz w:val="22"/>
          <w:szCs w:val="22"/>
        </w:rPr>
        <w:t xml:space="preserve">the </w:t>
      </w:r>
      <w:r w:rsidR="00DB12EF" w:rsidRPr="00B756D3">
        <w:rPr>
          <w:rFonts w:ascii="Arial" w:hAnsi="Arial" w:cs="Arial"/>
          <w:sz w:val="22"/>
          <w:szCs w:val="22"/>
        </w:rPr>
        <w:t xml:space="preserve">Executive in </w:t>
      </w:r>
      <w:r w:rsidR="006B3745">
        <w:rPr>
          <w:rFonts w:ascii="Arial" w:hAnsi="Arial" w:cs="Arial"/>
          <w:sz w:val="22"/>
          <w:szCs w:val="22"/>
        </w:rPr>
        <w:t>March</w:t>
      </w:r>
      <w:r w:rsidR="006F6960">
        <w:rPr>
          <w:rFonts w:ascii="Arial" w:hAnsi="Arial" w:cs="Arial"/>
          <w:sz w:val="22"/>
          <w:szCs w:val="22"/>
        </w:rPr>
        <w:t xml:space="preserve"> 2014</w:t>
      </w:r>
      <w:r w:rsidRPr="00B756D3">
        <w:rPr>
          <w:rFonts w:ascii="Arial" w:hAnsi="Arial" w:cs="Arial"/>
          <w:sz w:val="22"/>
          <w:szCs w:val="22"/>
        </w:rPr>
        <w:t>. We undertook to review the impact of our work and our delivery against the priorities in the business plan through robust performance management including regular reports to memb</w:t>
      </w:r>
      <w:r w:rsidR="00B756D3" w:rsidRPr="00B756D3">
        <w:rPr>
          <w:rFonts w:ascii="Arial" w:hAnsi="Arial" w:cs="Arial"/>
          <w:sz w:val="22"/>
          <w:szCs w:val="22"/>
        </w:rPr>
        <w:t>ers on the LGA Leadership Board.</w:t>
      </w:r>
    </w:p>
    <w:p w:rsidR="00B756D3" w:rsidRPr="00B756D3" w:rsidRDefault="00B756D3" w:rsidP="00B756D3">
      <w:pPr>
        <w:ind w:left="680"/>
        <w:rPr>
          <w:rFonts w:ascii="Arial" w:hAnsi="Arial" w:cs="Arial"/>
          <w:sz w:val="22"/>
          <w:szCs w:val="22"/>
        </w:rPr>
      </w:pPr>
    </w:p>
    <w:p w:rsidR="00B756D3" w:rsidRPr="00B756D3" w:rsidRDefault="00CB2DEB" w:rsidP="00B756D3">
      <w:pPr>
        <w:numPr>
          <w:ilvl w:val="0"/>
          <w:numId w:val="22"/>
        </w:numPr>
        <w:rPr>
          <w:rFonts w:ascii="Arial" w:hAnsi="Arial" w:cs="Arial"/>
          <w:sz w:val="22"/>
          <w:szCs w:val="22"/>
        </w:rPr>
      </w:pPr>
      <w:r w:rsidRPr="00B756D3">
        <w:rPr>
          <w:rFonts w:ascii="Arial" w:hAnsi="Arial" w:cs="Arial"/>
          <w:sz w:val="22"/>
          <w:szCs w:val="22"/>
        </w:rPr>
        <w:t>The following performance framework has been put in place to monitor delivery against the business plan:</w:t>
      </w:r>
    </w:p>
    <w:p w:rsidR="00B756D3" w:rsidRPr="00B756D3" w:rsidRDefault="00B756D3" w:rsidP="00B756D3">
      <w:pPr>
        <w:pStyle w:val="ListParagraph"/>
        <w:ind w:left="0"/>
        <w:rPr>
          <w:rFonts w:ascii="Arial" w:hAnsi="Arial" w:cs="Arial"/>
          <w:sz w:val="22"/>
          <w:szCs w:val="22"/>
        </w:rPr>
      </w:pPr>
    </w:p>
    <w:p w:rsidR="00B756D3" w:rsidRDefault="00CB2DEB" w:rsidP="00B756D3">
      <w:pPr>
        <w:numPr>
          <w:ilvl w:val="1"/>
          <w:numId w:val="22"/>
        </w:numPr>
        <w:rPr>
          <w:rFonts w:ascii="Arial" w:hAnsi="Arial" w:cs="Arial"/>
          <w:sz w:val="22"/>
          <w:szCs w:val="22"/>
        </w:rPr>
      </w:pPr>
      <w:r w:rsidRPr="00B756D3">
        <w:rPr>
          <w:rFonts w:ascii="Arial" w:hAnsi="Arial" w:cs="Arial"/>
          <w:sz w:val="22"/>
          <w:szCs w:val="22"/>
        </w:rPr>
        <w:t>a progress report on achieving the outcomes in the business plan with information on the key milestones and deliverables for each area of work</w:t>
      </w:r>
    </w:p>
    <w:p w:rsidR="00B756D3" w:rsidRDefault="00B756D3" w:rsidP="00B756D3">
      <w:pPr>
        <w:rPr>
          <w:rFonts w:ascii="Arial" w:hAnsi="Arial" w:cs="Arial"/>
          <w:sz w:val="22"/>
          <w:szCs w:val="22"/>
        </w:rPr>
      </w:pPr>
    </w:p>
    <w:p w:rsidR="00B756D3" w:rsidRDefault="00CB2DEB" w:rsidP="00B756D3">
      <w:pPr>
        <w:numPr>
          <w:ilvl w:val="1"/>
          <w:numId w:val="22"/>
        </w:numPr>
        <w:rPr>
          <w:rFonts w:ascii="Arial" w:hAnsi="Arial" w:cs="Arial"/>
          <w:sz w:val="22"/>
          <w:szCs w:val="22"/>
        </w:rPr>
      </w:pPr>
      <w:r w:rsidRPr="00B756D3">
        <w:rPr>
          <w:rFonts w:ascii="Arial" w:hAnsi="Arial" w:cs="Arial"/>
          <w:sz w:val="22"/>
          <w:szCs w:val="22"/>
        </w:rPr>
        <w:t>management accounts summarising the overall financial performance of the LGA and its associated companies</w:t>
      </w:r>
    </w:p>
    <w:p w:rsidR="00B756D3" w:rsidRDefault="00B756D3" w:rsidP="00B756D3">
      <w:pPr>
        <w:pStyle w:val="ListParagraph"/>
        <w:ind w:left="0"/>
        <w:rPr>
          <w:rFonts w:ascii="Arial" w:hAnsi="Arial" w:cs="Arial"/>
          <w:sz w:val="22"/>
          <w:szCs w:val="22"/>
        </w:rPr>
      </w:pPr>
    </w:p>
    <w:p w:rsidR="0081033D" w:rsidRDefault="00CB2DEB" w:rsidP="00586E8C">
      <w:pPr>
        <w:numPr>
          <w:ilvl w:val="1"/>
          <w:numId w:val="22"/>
        </w:numPr>
        <w:rPr>
          <w:rFonts w:ascii="Arial" w:hAnsi="Arial" w:cs="Arial"/>
          <w:sz w:val="22"/>
          <w:szCs w:val="22"/>
        </w:rPr>
      </w:pPr>
      <w:r w:rsidRPr="00B756D3">
        <w:rPr>
          <w:rFonts w:ascii="Arial" w:hAnsi="Arial" w:cs="Arial"/>
          <w:sz w:val="22"/>
          <w:szCs w:val="22"/>
        </w:rPr>
        <w:t>a report on performance against the Corporate Health Indicators set out in the business plan, to enable us to review our own efficiency and effectiveness</w:t>
      </w:r>
    </w:p>
    <w:p w:rsidR="00CB2DEB" w:rsidRPr="00B756D3" w:rsidRDefault="00CB2DEB" w:rsidP="00CB2DEB">
      <w:pPr>
        <w:pStyle w:val="MainText"/>
        <w:spacing w:line="240" w:lineRule="auto"/>
        <w:rPr>
          <w:rFonts w:ascii="Arial" w:hAnsi="Arial" w:cs="Arial"/>
          <w:szCs w:val="22"/>
        </w:rPr>
      </w:pPr>
    </w:p>
    <w:p w:rsidR="00B756D3" w:rsidRDefault="00CB2DEB" w:rsidP="00B756D3">
      <w:pPr>
        <w:numPr>
          <w:ilvl w:val="0"/>
          <w:numId w:val="22"/>
        </w:numPr>
        <w:rPr>
          <w:rFonts w:ascii="Arial" w:hAnsi="Arial" w:cs="Arial"/>
          <w:sz w:val="22"/>
          <w:szCs w:val="22"/>
        </w:rPr>
      </w:pPr>
      <w:r w:rsidRPr="00B756D3">
        <w:rPr>
          <w:rFonts w:ascii="Arial" w:hAnsi="Arial" w:cs="Arial"/>
          <w:sz w:val="22"/>
          <w:szCs w:val="22"/>
        </w:rPr>
        <w:t>The perfo</w:t>
      </w:r>
      <w:r w:rsidR="005A321B" w:rsidRPr="00B756D3">
        <w:rPr>
          <w:rFonts w:ascii="Arial" w:hAnsi="Arial" w:cs="Arial"/>
          <w:sz w:val="22"/>
          <w:szCs w:val="22"/>
        </w:rPr>
        <w:t xml:space="preserve">rmance information for the </w:t>
      </w:r>
      <w:r w:rsidR="00586E8C">
        <w:rPr>
          <w:rFonts w:ascii="Arial" w:hAnsi="Arial" w:cs="Arial"/>
          <w:sz w:val="22"/>
          <w:szCs w:val="22"/>
        </w:rPr>
        <w:t>first six months</w:t>
      </w:r>
      <w:r w:rsidR="006B3745">
        <w:rPr>
          <w:rFonts w:ascii="Arial" w:hAnsi="Arial" w:cs="Arial"/>
          <w:sz w:val="22"/>
          <w:szCs w:val="22"/>
        </w:rPr>
        <w:t xml:space="preserve"> to</w:t>
      </w:r>
      <w:r w:rsidR="005A321B" w:rsidRPr="00B756D3">
        <w:rPr>
          <w:rFonts w:ascii="Arial" w:hAnsi="Arial" w:cs="Arial"/>
          <w:sz w:val="22"/>
          <w:szCs w:val="22"/>
        </w:rPr>
        <w:t xml:space="preserve"> the end of </w:t>
      </w:r>
      <w:r w:rsidR="006B5E67">
        <w:rPr>
          <w:rFonts w:ascii="Arial" w:hAnsi="Arial" w:cs="Arial"/>
          <w:sz w:val="22"/>
          <w:szCs w:val="22"/>
        </w:rPr>
        <w:t>September</w:t>
      </w:r>
      <w:r w:rsidR="00E20B07">
        <w:rPr>
          <w:rFonts w:ascii="Arial" w:hAnsi="Arial" w:cs="Arial"/>
          <w:sz w:val="22"/>
          <w:szCs w:val="22"/>
        </w:rPr>
        <w:t xml:space="preserve"> 2014</w:t>
      </w:r>
      <w:r w:rsidRPr="00B756D3">
        <w:rPr>
          <w:rFonts w:ascii="Arial" w:hAnsi="Arial" w:cs="Arial"/>
          <w:sz w:val="22"/>
          <w:szCs w:val="22"/>
        </w:rPr>
        <w:t xml:space="preserve"> is now presented in the detailed </w:t>
      </w:r>
      <w:r w:rsidR="00CB4181">
        <w:rPr>
          <w:rFonts w:ascii="Arial" w:hAnsi="Arial" w:cs="Arial"/>
          <w:sz w:val="22"/>
          <w:szCs w:val="22"/>
        </w:rPr>
        <w:t>appendices to this report. A</w:t>
      </w:r>
      <w:r w:rsidRPr="00B756D3">
        <w:rPr>
          <w:rFonts w:ascii="Arial" w:hAnsi="Arial" w:cs="Arial"/>
          <w:sz w:val="22"/>
          <w:szCs w:val="22"/>
        </w:rPr>
        <w:t xml:space="preserve"> summary of the key issues arising is set out below.</w:t>
      </w:r>
    </w:p>
    <w:p w:rsidR="00CB2DEB" w:rsidRPr="00B756D3" w:rsidRDefault="00CB2DEB" w:rsidP="00CB2DEB">
      <w:pPr>
        <w:pStyle w:val="MainText"/>
        <w:spacing w:line="240" w:lineRule="auto"/>
        <w:rPr>
          <w:rFonts w:ascii="Arial" w:hAnsi="Arial" w:cs="Arial"/>
          <w:szCs w:val="22"/>
        </w:rPr>
      </w:pPr>
    </w:p>
    <w:p w:rsidR="00CB2DEB" w:rsidRPr="000A677C" w:rsidRDefault="00CB2DEB" w:rsidP="00CB2DEB">
      <w:pPr>
        <w:pStyle w:val="MainText"/>
        <w:spacing w:line="240" w:lineRule="auto"/>
        <w:rPr>
          <w:rFonts w:ascii="Arial" w:hAnsi="Arial" w:cs="Arial"/>
          <w:b/>
          <w:szCs w:val="22"/>
        </w:rPr>
      </w:pPr>
      <w:r w:rsidRPr="009F7169">
        <w:rPr>
          <w:rFonts w:ascii="Arial" w:hAnsi="Arial" w:cs="Arial"/>
          <w:b/>
          <w:szCs w:val="22"/>
        </w:rPr>
        <w:t>Delivery of the LGA’s programmes</w:t>
      </w:r>
    </w:p>
    <w:p w:rsidR="0070597B" w:rsidRPr="00B756D3" w:rsidRDefault="0070597B" w:rsidP="000A677C">
      <w:pPr>
        <w:pStyle w:val="MainText"/>
        <w:spacing w:line="240" w:lineRule="auto"/>
        <w:rPr>
          <w:rFonts w:ascii="Arial" w:hAnsi="Arial" w:cs="Arial"/>
          <w:szCs w:val="22"/>
        </w:rPr>
      </w:pPr>
    </w:p>
    <w:p w:rsidR="00CB2DEB" w:rsidRPr="00B756D3" w:rsidRDefault="00CB2DEB" w:rsidP="00B756D3">
      <w:pPr>
        <w:numPr>
          <w:ilvl w:val="0"/>
          <w:numId w:val="22"/>
        </w:numPr>
        <w:rPr>
          <w:rFonts w:ascii="Arial" w:hAnsi="Arial" w:cs="Arial"/>
          <w:sz w:val="22"/>
          <w:szCs w:val="22"/>
        </w:rPr>
      </w:pPr>
      <w:r w:rsidRPr="00B756D3">
        <w:rPr>
          <w:rFonts w:ascii="Arial" w:hAnsi="Arial" w:cs="Arial"/>
          <w:sz w:val="22"/>
          <w:szCs w:val="22"/>
        </w:rPr>
        <w:t xml:space="preserve">A summary of delivery against each of the </w:t>
      </w:r>
      <w:r w:rsidR="00CD7B88">
        <w:rPr>
          <w:rFonts w:ascii="Arial" w:hAnsi="Arial" w:cs="Arial"/>
          <w:sz w:val="22"/>
          <w:szCs w:val="22"/>
        </w:rPr>
        <w:t>work programmes</w:t>
      </w:r>
      <w:r w:rsidRPr="00B756D3">
        <w:rPr>
          <w:rFonts w:ascii="Arial" w:hAnsi="Arial" w:cs="Arial"/>
          <w:sz w:val="22"/>
          <w:szCs w:val="22"/>
        </w:rPr>
        <w:t xml:space="preserve"> in the </w:t>
      </w:r>
      <w:r w:rsidR="006F6960">
        <w:rPr>
          <w:rFonts w:ascii="Arial" w:hAnsi="Arial" w:cs="Arial"/>
          <w:sz w:val="22"/>
          <w:szCs w:val="22"/>
        </w:rPr>
        <w:t>2014/15</w:t>
      </w:r>
      <w:r w:rsidR="000A677C">
        <w:rPr>
          <w:rFonts w:ascii="Arial" w:hAnsi="Arial" w:cs="Arial"/>
          <w:sz w:val="22"/>
          <w:szCs w:val="22"/>
        </w:rPr>
        <w:t xml:space="preserve"> </w:t>
      </w:r>
      <w:r w:rsidRPr="00B756D3">
        <w:rPr>
          <w:rFonts w:ascii="Arial" w:hAnsi="Arial" w:cs="Arial"/>
          <w:sz w:val="22"/>
          <w:szCs w:val="22"/>
        </w:rPr>
        <w:t xml:space="preserve">business plan is included at </w:t>
      </w:r>
      <w:r w:rsidRPr="00B756D3">
        <w:rPr>
          <w:rFonts w:ascii="Arial" w:hAnsi="Arial" w:cs="Arial"/>
          <w:b/>
          <w:sz w:val="22"/>
          <w:szCs w:val="22"/>
          <w:u w:val="single"/>
        </w:rPr>
        <w:t>Appendix A</w:t>
      </w:r>
      <w:r w:rsidRPr="00B756D3">
        <w:rPr>
          <w:rFonts w:ascii="Arial" w:hAnsi="Arial" w:cs="Arial"/>
          <w:sz w:val="22"/>
          <w:szCs w:val="22"/>
        </w:rPr>
        <w:t>. This sets out, for each objective, what has been delivered with a commentary on progress to date. A standard traffic light rating has been applied as follows:</w:t>
      </w:r>
    </w:p>
    <w:p w:rsidR="00CB2DEB" w:rsidRPr="00B756D3" w:rsidRDefault="00CB2DEB" w:rsidP="00CB2DEB">
      <w:pPr>
        <w:rPr>
          <w:rFonts w:ascii="Arial" w:hAnsi="Arial" w:cs="Arial"/>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485"/>
        <w:gridCol w:w="6112"/>
        <w:gridCol w:w="1391"/>
      </w:tblGrid>
      <w:tr w:rsidR="00CB2DEB" w:rsidRPr="00B756D3" w:rsidTr="00DE3ADA">
        <w:tc>
          <w:tcPr>
            <w:tcW w:w="485"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CB2DEB" w:rsidP="00793664">
            <w:pPr>
              <w:jc w:val="center"/>
              <w:rPr>
                <w:rFonts w:ascii="Arial" w:hAnsi="Arial" w:cs="Arial"/>
                <w:b/>
                <w:sz w:val="22"/>
                <w:szCs w:val="22"/>
              </w:rPr>
            </w:pPr>
            <w:r w:rsidRPr="00B756D3">
              <w:rPr>
                <w:rFonts w:ascii="Arial" w:hAnsi="Arial" w:cs="Arial"/>
                <w:b/>
                <w:sz w:val="22"/>
                <w:szCs w:val="22"/>
              </w:rPr>
              <w:t>TL</w:t>
            </w:r>
          </w:p>
        </w:tc>
        <w:tc>
          <w:tcPr>
            <w:tcW w:w="6112"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CB2DEB">
            <w:pPr>
              <w:rPr>
                <w:rFonts w:ascii="Arial" w:hAnsi="Arial" w:cs="Arial"/>
                <w:b/>
                <w:sz w:val="22"/>
                <w:szCs w:val="22"/>
              </w:rPr>
            </w:pPr>
            <w:r w:rsidRPr="00B756D3">
              <w:rPr>
                <w:rFonts w:ascii="Arial" w:hAnsi="Arial" w:cs="Arial"/>
                <w:b/>
                <w:sz w:val="22"/>
                <w:szCs w:val="22"/>
              </w:rPr>
              <w:t>Definition</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CB2DEB" w:rsidP="00793664">
            <w:pPr>
              <w:jc w:val="center"/>
              <w:rPr>
                <w:rFonts w:ascii="Arial" w:hAnsi="Arial" w:cs="Arial"/>
                <w:b/>
                <w:sz w:val="22"/>
                <w:szCs w:val="22"/>
              </w:rPr>
            </w:pPr>
            <w:r w:rsidRPr="00B756D3">
              <w:rPr>
                <w:rFonts w:ascii="Arial" w:hAnsi="Arial" w:cs="Arial"/>
                <w:b/>
                <w:sz w:val="22"/>
                <w:szCs w:val="22"/>
              </w:rPr>
              <w:t>Total</w:t>
            </w:r>
          </w:p>
        </w:tc>
      </w:tr>
      <w:tr w:rsidR="00DE3ADA" w:rsidRPr="00B756D3" w:rsidTr="00DE3ADA">
        <w:tc>
          <w:tcPr>
            <w:tcW w:w="485" w:type="dxa"/>
            <w:tcBorders>
              <w:top w:val="single" w:sz="4" w:space="0" w:color="auto"/>
              <w:left w:val="single" w:sz="4" w:space="0" w:color="auto"/>
              <w:bottom w:val="single" w:sz="4" w:space="0" w:color="auto"/>
              <w:right w:val="single" w:sz="4" w:space="0" w:color="auto"/>
            </w:tcBorders>
            <w:shd w:val="clear" w:color="auto" w:fill="00FF00"/>
          </w:tcPr>
          <w:p w:rsidR="00DE3ADA" w:rsidRPr="00B756D3" w:rsidRDefault="00DE3ADA" w:rsidP="00793664">
            <w:pPr>
              <w:jc w:val="center"/>
              <w:rPr>
                <w:rFonts w:ascii="Arial" w:hAnsi="Arial" w:cs="Arial"/>
                <w:b/>
                <w:sz w:val="22"/>
                <w:szCs w:val="22"/>
              </w:rPr>
            </w:pPr>
            <w:r w:rsidRPr="00B756D3">
              <w:rPr>
                <w:rFonts w:ascii="Arial" w:hAnsi="Arial" w:cs="Arial"/>
                <w:b/>
                <w:sz w:val="22"/>
                <w:szCs w:val="22"/>
              </w:rPr>
              <w:t>G</w:t>
            </w:r>
          </w:p>
        </w:tc>
        <w:tc>
          <w:tcPr>
            <w:tcW w:w="6112" w:type="dxa"/>
            <w:tcBorders>
              <w:top w:val="single" w:sz="4" w:space="0" w:color="auto"/>
              <w:left w:val="single" w:sz="4" w:space="0" w:color="auto"/>
              <w:bottom w:val="single" w:sz="4" w:space="0" w:color="auto"/>
              <w:right w:val="single" w:sz="4" w:space="0" w:color="auto"/>
            </w:tcBorders>
            <w:shd w:val="clear" w:color="auto" w:fill="auto"/>
          </w:tcPr>
          <w:p w:rsidR="00DE3ADA" w:rsidRPr="00B756D3" w:rsidRDefault="00DE3ADA" w:rsidP="00D273B8">
            <w:pPr>
              <w:rPr>
                <w:rFonts w:ascii="Arial" w:hAnsi="Arial" w:cs="Arial"/>
                <w:b/>
                <w:sz w:val="22"/>
                <w:szCs w:val="22"/>
              </w:rPr>
            </w:pPr>
            <w:r>
              <w:rPr>
                <w:rFonts w:ascii="Arial" w:hAnsi="Arial" w:cs="Arial"/>
                <w:b/>
                <w:sz w:val="22"/>
                <w:szCs w:val="22"/>
              </w:rPr>
              <w:t>Work programme delivered or on track to be delivered</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9A7A7E" w:rsidRPr="00B756D3" w:rsidRDefault="00DE3ADA" w:rsidP="009A7A7E">
            <w:pPr>
              <w:jc w:val="center"/>
              <w:rPr>
                <w:rFonts w:ascii="Arial" w:hAnsi="Arial" w:cs="Arial"/>
                <w:b/>
                <w:sz w:val="22"/>
                <w:szCs w:val="22"/>
              </w:rPr>
            </w:pPr>
            <w:r>
              <w:rPr>
                <w:rFonts w:ascii="Arial" w:hAnsi="Arial" w:cs="Arial"/>
                <w:b/>
                <w:sz w:val="22"/>
                <w:szCs w:val="22"/>
              </w:rPr>
              <w:t>3</w:t>
            </w:r>
            <w:r w:rsidR="00974137">
              <w:rPr>
                <w:rFonts w:ascii="Arial" w:hAnsi="Arial" w:cs="Arial"/>
                <w:b/>
                <w:sz w:val="22"/>
                <w:szCs w:val="22"/>
              </w:rPr>
              <w:t>8</w:t>
            </w:r>
          </w:p>
        </w:tc>
      </w:tr>
      <w:tr w:rsidR="00DE3ADA" w:rsidRPr="00B756D3" w:rsidTr="00DE3ADA">
        <w:tc>
          <w:tcPr>
            <w:tcW w:w="485" w:type="dxa"/>
            <w:tcBorders>
              <w:top w:val="single" w:sz="4" w:space="0" w:color="auto"/>
              <w:left w:val="single" w:sz="4" w:space="0" w:color="auto"/>
              <w:bottom w:val="single" w:sz="4" w:space="0" w:color="auto"/>
              <w:right w:val="single" w:sz="4" w:space="0" w:color="auto"/>
            </w:tcBorders>
            <w:shd w:val="clear" w:color="auto" w:fill="FF6600"/>
          </w:tcPr>
          <w:p w:rsidR="00DE3ADA" w:rsidRPr="00B756D3" w:rsidRDefault="00DE3ADA" w:rsidP="00793664">
            <w:pPr>
              <w:jc w:val="center"/>
              <w:rPr>
                <w:rFonts w:ascii="Arial" w:hAnsi="Arial" w:cs="Arial"/>
                <w:b/>
                <w:sz w:val="22"/>
                <w:szCs w:val="22"/>
              </w:rPr>
            </w:pPr>
            <w:r w:rsidRPr="00B756D3">
              <w:rPr>
                <w:rFonts w:ascii="Arial" w:hAnsi="Arial" w:cs="Arial"/>
                <w:b/>
                <w:sz w:val="22"/>
                <w:szCs w:val="22"/>
              </w:rPr>
              <w:t>A</w:t>
            </w:r>
          </w:p>
        </w:tc>
        <w:tc>
          <w:tcPr>
            <w:tcW w:w="6112" w:type="dxa"/>
            <w:tcBorders>
              <w:top w:val="single" w:sz="4" w:space="0" w:color="auto"/>
              <w:left w:val="single" w:sz="4" w:space="0" w:color="auto"/>
              <w:bottom w:val="single" w:sz="4" w:space="0" w:color="auto"/>
              <w:right w:val="single" w:sz="4" w:space="0" w:color="auto"/>
            </w:tcBorders>
            <w:shd w:val="clear" w:color="auto" w:fill="auto"/>
          </w:tcPr>
          <w:p w:rsidR="00DE3ADA" w:rsidRPr="00B756D3" w:rsidRDefault="00DE3ADA" w:rsidP="00D273B8">
            <w:pPr>
              <w:rPr>
                <w:rFonts w:ascii="Arial" w:hAnsi="Arial" w:cs="Arial"/>
                <w:b/>
                <w:sz w:val="22"/>
                <w:szCs w:val="22"/>
              </w:rPr>
            </w:pPr>
            <w:r>
              <w:rPr>
                <w:rFonts w:ascii="Arial" w:hAnsi="Arial" w:cs="Arial"/>
                <w:b/>
                <w:sz w:val="22"/>
                <w:szCs w:val="22"/>
              </w:rPr>
              <w:t>Work programme at risk of not being delivered</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DE3ADA" w:rsidRPr="00B756D3" w:rsidRDefault="00974137" w:rsidP="003E12FA">
            <w:pPr>
              <w:jc w:val="center"/>
              <w:rPr>
                <w:rFonts w:ascii="Arial" w:hAnsi="Arial" w:cs="Arial"/>
                <w:b/>
                <w:sz w:val="22"/>
                <w:szCs w:val="22"/>
              </w:rPr>
            </w:pPr>
            <w:r>
              <w:rPr>
                <w:rFonts w:ascii="Arial" w:hAnsi="Arial" w:cs="Arial"/>
                <w:b/>
                <w:sz w:val="22"/>
                <w:szCs w:val="22"/>
              </w:rPr>
              <w:t>4</w:t>
            </w:r>
          </w:p>
        </w:tc>
      </w:tr>
      <w:tr w:rsidR="00DE3ADA" w:rsidRPr="00B756D3" w:rsidTr="00DE3ADA">
        <w:tc>
          <w:tcPr>
            <w:tcW w:w="485" w:type="dxa"/>
            <w:tcBorders>
              <w:top w:val="single" w:sz="4" w:space="0" w:color="auto"/>
              <w:left w:val="single" w:sz="4" w:space="0" w:color="auto"/>
              <w:bottom w:val="single" w:sz="4" w:space="0" w:color="auto"/>
              <w:right w:val="single" w:sz="4" w:space="0" w:color="auto"/>
            </w:tcBorders>
            <w:shd w:val="clear" w:color="auto" w:fill="FF0000"/>
          </w:tcPr>
          <w:p w:rsidR="00DE3ADA" w:rsidRPr="00B756D3" w:rsidRDefault="00DE3ADA" w:rsidP="00793664">
            <w:pPr>
              <w:jc w:val="center"/>
              <w:rPr>
                <w:rFonts w:ascii="Arial" w:hAnsi="Arial" w:cs="Arial"/>
                <w:b/>
                <w:sz w:val="22"/>
                <w:szCs w:val="22"/>
              </w:rPr>
            </w:pPr>
            <w:r w:rsidRPr="00B756D3">
              <w:rPr>
                <w:rFonts w:ascii="Arial" w:hAnsi="Arial" w:cs="Arial"/>
                <w:b/>
                <w:sz w:val="22"/>
                <w:szCs w:val="22"/>
              </w:rPr>
              <w:t>R</w:t>
            </w:r>
          </w:p>
        </w:tc>
        <w:tc>
          <w:tcPr>
            <w:tcW w:w="6112" w:type="dxa"/>
            <w:tcBorders>
              <w:top w:val="single" w:sz="4" w:space="0" w:color="auto"/>
              <w:left w:val="single" w:sz="4" w:space="0" w:color="auto"/>
              <w:bottom w:val="single" w:sz="4" w:space="0" w:color="auto"/>
              <w:right w:val="single" w:sz="4" w:space="0" w:color="auto"/>
            </w:tcBorders>
            <w:shd w:val="clear" w:color="auto" w:fill="auto"/>
          </w:tcPr>
          <w:p w:rsidR="00DE3ADA" w:rsidRPr="00B756D3" w:rsidRDefault="00DE3ADA" w:rsidP="00D273B8">
            <w:pPr>
              <w:rPr>
                <w:rFonts w:ascii="Arial" w:hAnsi="Arial" w:cs="Arial"/>
                <w:b/>
                <w:sz w:val="22"/>
                <w:szCs w:val="22"/>
              </w:rPr>
            </w:pPr>
            <w:r>
              <w:rPr>
                <w:rFonts w:ascii="Arial" w:hAnsi="Arial" w:cs="Arial"/>
                <w:b/>
                <w:sz w:val="22"/>
                <w:szCs w:val="22"/>
              </w:rPr>
              <w:t>Work programme</w:t>
            </w:r>
            <w:r w:rsidRPr="00B756D3">
              <w:rPr>
                <w:rFonts w:ascii="Arial" w:hAnsi="Arial" w:cs="Arial"/>
                <w:b/>
                <w:sz w:val="22"/>
                <w:szCs w:val="22"/>
              </w:rPr>
              <w:t xml:space="preserve"> will not be </w:t>
            </w:r>
            <w:r>
              <w:rPr>
                <w:rFonts w:ascii="Arial" w:hAnsi="Arial" w:cs="Arial"/>
                <w:b/>
                <w:sz w:val="22"/>
                <w:szCs w:val="22"/>
              </w:rPr>
              <w:t>delivered</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DE3ADA" w:rsidRPr="00B756D3" w:rsidRDefault="00DE3ADA" w:rsidP="00793664">
            <w:pPr>
              <w:jc w:val="center"/>
              <w:rPr>
                <w:rFonts w:ascii="Arial" w:hAnsi="Arial" w:cs="Arial"/>
                <w:b/>
                <w:sz w:val="22"/>
                <w:szCs w:val="22"/>
              </w:rPr>
            </w:pPr>
            <w:r>
              <w:rPr>
                <w:rFonts w:ascii="Arial" w:hAnsi="Arial" w:cs="Arial"/>
                <w:b/>
                <w:sz w:val="22"/>
                <w:szCs w:val="22"/>
              </w:rPr>
              <w:t>0</w:t>
            </w:r>
          </w:p>
        </w:tc>
      </w:tr>
      <w:tr w:rsidR="00CB2DEB" w:rsidRPr="00B756D3" w:rsidTr="00DE3ADA">
        <w:tc>
          <w:tcPr>
            <w:tcW w:w="485"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CB2DEB" w:rsidP="00793664">
            <w:pPr>
              <w:jc w:val="center"/>
              <w:rPr>
                <w:rFonts w:ascii="Arial" w:hAnsi="Arial" w:cs="Arial"/>
                <w:b/>
                <w:sz w:val="22"/>
                <w:szCs w:val="22"/>
              </w:rPr>
            </w:pPr>
          </w:p>
        </w:tc>
        <w:tc>
          <w:tcPr>
            <w:tcW w:w="6112"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CB2DEB">
            <w:pPr>
              <w:rPr>
                <w:rFonts w:ascii="Arial" w:hAnsi="Arial" w:cs="Arial"/>
                <w:b/>
                <w:sz w:val="22"/>
                <w:szCs w:val="22"/>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CB2DEB" w:rsidRPr="00B756D3" w:rsidRDefault="003338B0" w:rsidP="00793664">
            <w:pPr>
              <w:jc w:val="center"/>
              <w:rPr>
                <w:rFonts w:ascii="Arial" w:hAnsi="Arial" w:cs="Arial"/>
                <w:b/>
                <w:sz w:val="22"/>
                <w:szCs w:val="22"/>
              </w:rPr>
            </w:pPr>
            <w:r>
              <w:rPr>
                <w:rFonts w:ascii="Arial" w:hAnsi="Arial" w:cs="Arial"/>
                <w:b/>
                <w:sz w:val="22"/>
                <w:szCs w:val="22"/>
              </w:rPr>
              <w:t>4</w:t>
            </w:r>
            <w:r w:rsidR="00DE3ADA">
              <w:rPr>
                <w:rFonts w:ascii="Arial" w:hAnsi="Arial" w:cs="Arial"/>
                <w:b/>
                <w:sz w:val="22"/>
                <w:szCs w:val="22"/>
              </w:rPr>
              <w:t>2</w:t>
            </w:r>
          </w:p>
        </w:tc>
      </w:tr>
    </w:tbl>
    <w:p w:rsidR="00932FFA" w:rsidRPr="00B756D3" w:rsidRDefault="00932FFA" w:rsidP="00CB2DEB">
      <w:pPr>
        <w:pStyle w:val="MainText"/>
        <w:spacing w:line="240" w:lineRule="auto"/>
        <w:ind w:left="567" w:hanging="567"/>
        <w:rPr>
          <w:rFonts w:ascii="Arial" w:hAnsi="Arial" w:cs="Arial"/>
          <w:szCs w:val="22"/>
        </w:rPr>
      </w:pPr>
    </w:p>
    <w:p w:rsidR="0033056D" w:rsidRPr="00B6670F" w:rsidRDefault="00B87E75" w:rsidP="0033056D">
      <w:pPr>
        <w:numPr>
          <w:ilvl w:val="0"/>
          <w:numId w:val="22"/>
        </w:numPr>
        <w:rPr>
          <w:rFonts w:ascii="Arial" w:hAnsi="Arial" w:cs="Arial"/>
          <w:sz w:val="22"/>
          <w:szCs w:val="22"/>
        </w:rPr>
      </w:pPr>
      <w:r w:rsidRPr="00B6670F">
        <w:rPr>
          <w:rFonts w:ascii="Arial" w:hAnsi="Arial" w:cs="Arial"/>
          <w:sz w:val="22"/>
          <w:szCs w:val="22"/>
        </w:rPr>
        <w:br w:type="page"/>
      </w:r>
      <w:r w:rsidR="00CB2DEB" w:rsidRPr="00B6670F">
        <w:rPr>
          <w:rFonts w:ascii="Arial" w:hAnsi="Arial" w:cs="Arial"/>
          <w:sz w:val="22"/>
          <w:szCs w:val="22"/>
        </w:rPr>
        <w:lastRenderedPageBreak/>
        <w:t xml:space="preserve">The performance report shows that </w:t>
      </w:r>
      <w:r w:rsidR="0011628E" w:rsidRPr="00B6670F">
        <w:rPr>
          <w:rFonts w:ascii="Arial" w:hAnsi="Arial" w:cs="Arial"/>
          <w:sz w:val="22"/>
          <w:szCs w:val="22"/>
        </w:rPr>
        <w:t xml:space="preserve">we </w:t>
      </w:r>
      <w:r w:rsidR="003338B0" w:rsidRPr="00B6670F">
        <w:rPr>
          <w:rFonts w:ascii="Arial" w:hAnsi="Arial" w:cs="Arial"/>
          <w:sz w:val="22"/>
          <w:szCs w:val="22"/>
        </w:rPr>
        <w:t xml:space="preserve">are on track to </w:t>
      </w:r>
      <w:r w:rsidR="0011628E" w:rsidRPr="00B6670F">
        <w:rPr>
          <w:rFonts w:ascii="Arial" w:hAnsi="Arial" w:cs="Arial"/>
          <w:sz w:val="22"/>
          <w:szCs w:val="22"/>
        </w:rPr>
        <w:t xml:space="preserve">deliver </w:t>
      </w:r>
      <w:r w:rsidR="00623B1C" w:rsidRPr="00B6670F">
        <w:rPr>
          <w:rFonts w:ascii="Arial" w:hAnsi="Arial" w:cs="Arial"/>
          <w:sz w:val="22"/>
          <w:szCs w:val="22"/>
        </w:rPr>
        <w:t>3</w:t>
      </w:r>
      <w:r w:rsidR="00974137">
        <w:rPr>
          <w:rFonts w:ascii="Arial" w:hAnsi="Arial" w:cs="Arial"/>
          <w:sz w:val="22"/>
          <w:szCs w:val="22"/>
        </w:rPr>
        <w:t>8</w:t>
      </w:r>
      <w:r w:rsidR="0011628E" w:rsidRPr="00B6670F">
        <w:rPr>
          <w:rFonts w:ascii="Arial" w:hAnsi="Arial" w:cs="Arial"/>
          <w:sz w:val="22"/>
          <w:szCs w:val="22"/>
        </w:rPr>
        <w:t xml:space="preserve"> </w:t>
      </w:r>
      <w:r w:rsidR="00CB2DEB" w:rsidRPr="00B6670F">
        <w:rPr>
          <w:rFonts w:ascii="Arial" w:hAnsi="Arial" w:cs="Arial"/>
          <w:sz w:val="22"/>
          <w:szCs w:val="22"/>
        </w:rPr>
        <w:t>of t</w:t>
      </w:r>
      <w:r w:rsidR="0011628E" w:rsidRPr="00B6670F">
        <w:rPr>
          <w:rFonts w:ascii="Arial" w:hAnsi="Arial" w:cs="Arial"/>
          <w:sz w:val="22"/>
          <w:szCs w:val="22"/>
        </w:rPr>
        <w:t xml:space="preserve">he </w:t>
      </w:r>
      <w:r w:rsidR="00E50848" w:rsidRPr="00B6670F">
        <w:rPr>
          <w:rFonts w:ascii="Arial" w:hAnsi="Arial" w:cs="Arial"/>
          <w:sz w:val="22"/>
          <w:szCs w:val="22"/>
        </w:rPr>
        <w:t>4</w:t>
      </w:r>
      <w:r w:rsidR="00B6670F" w:rsidRPr="00B6670F">
        <w:rPr>
          <w:rFonts w:ascii="Arial" w:hAnsi="Arial" w:cs="Arial"/>
          <w:sz w:val="22"/>
          <w:szCs w:val="22"/>
        </w:rPr>
        <w:t>2</w:t>
      </w:r>
      <w:r w:rsidR="0011628E" w:rsidRPr="00B6670F">
        <w:rPr>
          <w:rFonts w:ascii="Arial" w:hAnsi="Arial" w:cs="Arial"/>
          <w:sz w:val="22"/>
          <w:szCs w:val="22"/>
        </w:rPr>
        <w:t xml:space="preserve"> </w:t>
      </w:r>
      <w:r w:rsidR="008A0BE2" w:rsidRPr="00B6670F">
        <w:rPr>
          <w:rFonts w:ascii="Arial" w:hAnsi="Arial" w:cs="Arial"/>
          <w:sz w:val="22"/>
          <w:szCs w:val="22"/>
        </w:rPr>
        <w:t>programmes</w:t>
      </w:r>
      <w:r w:rsidR="00CB2DEB" w:rsidRPr="00B6670F">
        <w:rPr>
          <w:rFonts w:ascii="Arial" w:hAnsi="Arial" w:cs="Arial"/>
          <w:sz w:val="22"/>
          <w:szCs w:val="22"/>
        </w:rPr>
        <w:t xml:space="preserve"> identified in the business plan</w:t>
      </w:r>
      <w:r w:rsidRPr="00B6670F">
        <w:rPr>
          <w:rFonts w:ascii="Arial" w:hAnsi="Arial" w:cs="Arial"/>
          <w:sz w:val="22"/>
          <w:szCs w:val="22"/>
        </w:rPr>
        <w:t xml:space="preserve">. </w:t>
      </w:r>
      <w:r w:rsidR="003D24E8" w:rsidRPr="00B6670F">
        <w:rPr>
          <w:rFonts w:ascii="Arial" w:hAnsi="Arial" w:cs="Arial"/>
          <w:sz w:val="22"/>
          <w:szCs w:val="22"/>
        </w:rPr>
        <w:t>This assessment relates to delivery of the LGA’s operational programmes where the overall conclusion is that work is un</w:t>
      </w:r>
      <w:r w:rsidR="00586E8C">
        <w:rPr>
          <w:rFonts w:ascii="Arial" w:hAnsi="Arial" w:cs="Arial"/>
          <w:sz w:val="22"/>
          <w:szCs w:val="22"/>
        </w:rPr>
        <w:t>derway and on track</w:t>
      </w:r>
      <w:r w:rsidR="003D24E8" w:rsidRPr="00B6670F">
        <w:rPr>
          <w:rFonts w:ascii="Arial" w:hAnsi="Arial" w:cs="Arial"/>
          <w:sz w:val="22"/>
          <w:szCs w:val="22"/>
        </w:rPr>
        <w:t xml:space="preserve">. </w:t>
      </w:r>
    </w:p>
    <w:p w:rsidR="00B87E75" w:rsidRDefault="00B87E75" w:rsidP="00552BFD">
      <w:pPr>
        <w:rPr>
          <w:rFonts w:ascii="Arial" w:hAnsi="Arial" w:cs="Arial"/>
          <w:sz w:val="22"/>
          <w:szCs w:val="22"/>
        </w:rPr>
      </w:pPr>
    </w:p>
    <w:p w:rsidR="00CB2DEB" w:rsidRPr="003338B0" w:rsidRDefault="003D24E8" w:rsidP="00B756D3">
      <w:pPr>
        <w:numPr>
          <w:ilvl w:val="0"/>
          <w:numId w:val="22"/>
        </w:numPr>
        <w:rPr>
          <w:rFonts w:ascii="Arial" w:hAnsi="Arial" w:cs="Arial"/>
          <w:sz w:val="22"/>
          <w:szCs w:val="22"/>
        </w:rPr>
      </w:pPr>
      <w:r>
        <w:rPr>
          <w:rFonts w:ascii="Arial" w:hAnsi="Arial" w:cs="Arial"/>
          <w:sz w:val="22"/>
          <w:szCs w:val="22"/>
        </w:rPr>
        <w:t xml:space="preserve">The performance report identifies </w:t>
      </w:r>
      <w:r w:rsidR="00B6670F">
        <w:rPr>
          <w:rFonts w:ascii="Arial" w:hAnsi="Arial" w:cs="Arial"/>
          <w:sz w:val="22"/>
          <w:szCs w:val="22"/>
        </w:rPr>
        <w:t>five</w:t>
      </w:r>
      <w:r>
        <w:rPr>
          <w:rFonts w:ascii="Arial" w:hAnsi="Arial" w:cs="Arial"/>
          <w:sz w:val="22"/>
          <w:szCs w:val="22"/>
        </w:rPr>
        <w:t xml:space="preserve"> objectives where </w:t>
      </w:r>
      <w:r w:rsidR="00552BFD">
        <w:rPr>
          <w:rFonts w:ascii="Arial" w:hAnsi="Arial" w:cs="Arial"/>
          <w:sz w:val="22"/>
          <w:szCs w:val="22"/>
        </w:rPr>
        <w:t xml:space="preserve">the work programme </w:t>
      </w:r>
      <w:r w:rsidR="00B6670F">
        <w:rPr>
          <w:rFonts w:ascii="Arial" w:hAnsi="Arial" w:cs="Arial"/>
          <w:sz w:val="22"/>
          <w:szCs w:val="22"/>
        </w:rPr>
        <w:t xml:space="preserve">is at risk of </w:t>
      </w:r>
      <w:r w:rsidR="00552BFD">
        <w:rPr>
          <w:rFonts w:ascii="Arial" w:hAnsi="Arial" w:cs="Arial"/>
          <w:sz w:val="22"/>
          <w:szCs w:val="22"/>
        </w:rPr>
        <w:t>not delivered in full by year-end</w:t>
      </w:r>
      <w:r>
        <w:rPr>
          <w:rFonts w:ascii="Arial" w:hAnsi="Arial" w:cs="Arial"/>
          <w:sz w:val="22"/>
          <w:szCs w:val="22"/>
        </w:rPr>
        <w:t xml:space="preserve">: </w:t>
      </w:r>
      <w:r w:rsidR="0025565B">
        <w:rPr>
          <w:rFonts w:ascii="Arial" w:hAnsi="Arial" w:cs="Arial"/>
          <w:sz w:val="22"/>
          <w:szCs w:val="22"/>
        </w:rPr>
        <w:t>These are set out below:</w:t>
      </w:r>
    </w:p>
    <w:p w:rsidR="0011628E" w:rsidRPr="00B756D3" w:rsidRDefault="0011628E" w:rsidP="002E014B">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870"/>
      </w:tblGrid>
      <w:tr w:rsidR="0011628E" w:rsidRPr="00B756D3" w:rsidTr="004B3F25">
        <w:tc>
          <w:tcPr>
            <w:tcW w:w="3652" w:type="dxa"/>
            <w:shd w:val="clear" w:color="auto" w:fill="auto"/>
          </w:tcPr>
          <w:p w:rsidR="0011628E" w:rsidRPr="00B756D3" w:rsidRDefault="0011628E" w:rsidP="00793664">
            <w:pPr>
              <w:pStyle w:val="MainText"/>
              <w:spacing w:line="240" w:lineRule="auto"/>
              <w:rPr>
                <w:rFonts w:ascii="Arial" w:hAnsi="Arial" w:cs="Arial"/>
                <w:b/>
                <w:szCs w:val="22"/>
              </w:rPr>
            </w:pPr>
            <w:r w:rsidRPr="00B756D3">
              <w:rPr>
                <w:rFonts w:ascii="Arial" w:hAnsi="Arial" w:cs="Arial"/>
                <w:b/>
                <w:szCs w:val="22"/>
              </w:rPr>
              <w:t>Business Plan Outcome</w:t>
            </w:r>
          </w:p>
        </w:tc>
        <w:tc>
          <w:tcPr>
            <w:tcW w:w="4870" w:type="dxa"/>
            <w:shd w:val="clear" w:color="auto" w:fill="auto"/>
          </w:tcPr>
          <w:p w:rsidR="0011628E" w:rsidRPr="00B756D3" w:rsidRDefault="00FA1CC3" w:rsidP="00793664">
            <w:pPr>
              <w:pStyle w:val="MainText"/>
              <w:spacing w:line="240" w:lineRule="auto"/>
              <w:rPr>
                <w:rFonts w:ascii="Arial" w:hAnsi="Arial" w:cs="Arial"/>
                <w:b/>
                <w:szCs w:val="22"/>
              </w:rPr>
            </w:pPr>
            <w:r w:rsidRPr="00B756D3">
              <w:rPr>
                <w:rFonts w:ascii="Arial" w:hAnsi="Arial" w:cs="Arial"/>
                <w:b/>
                <w:szCs w:val="22"/>
              </w:rPr>
              <w:t>Commentary</w:t>
            </w:r>
          </w:p>
        </w:tc>
      </w:tr>
      <w:tr w:rsidR="000B5ADF" w:rsidRPr="00B756D3" w:rsidTr="004B3F25">
        <w:tc>
          <w:tcPr>
            <w:tcW w:w="3652" w:type="dxa"/>
            <w:shd w:val="clear" w:color="auto" w:fill="auto"/>
          </w:tcPr>
          <w:p w:rsidR="005D6346" w:rsidRPr="00B756D3" w:rsidRDefault="0050334C" w:rsidP="00283E28">
            <w:pPr>
              <w:pStyle w:val="MainText"/>
              <w:spacing w:line="240" w:lineRule="auto"/>
              <w:rPr>
                <w:rFonts w:ascii="Arial" w:hAnsi="Arial" w:cs="Arial"/>
                <w:szCs w:val="22"/>
              </w:rPr>
            </w:pPr>
            <w:r w:rsidRPr="0050334C">
              <w:rPr>
                <w:rFonts w:ascii="Arial" w:hAnsi="Arial" w:cs="Arial"/>
                <w:b/>
                <w:szCs w:val="22"/>
              </w:rPr>
              <w:t>L</w:t>
            </w:r>
            <w:r w:rsidR="00B6670F" w:rsidRPr="0050334C">
              <w:rPr>
                <w:rFonts w:ascii="Arial" w:hAnsi="Arial" w:cs="Arial"/>
                <w:b/>
                <w:szCs w:val="22"/>
              </w:rPr>
              <w:t>ocal government workforce</w:t>
            </w:r>
            <w:r w:rsidR="00B6670F" w:rsidRPr="00B6670F">
              <w:rPr>
                <w:rFonts w:ascii="Arial" w:hAnsi="Arial" w:cs="Arial"/>
                <w:szCs w:val="22"/>
              </w:rPr>
              <w:t xml:space="preserve"> is able to deliver the services required by local citizens - we will negotiate national agreements that are seen as fit for purpose by councils, represent their interests in reforming the Local Government Pension Scheme and continue to offer practical advice and products for their workforce challenges</w:t>
            </w:r>
          </w:p>
        </w:tc>
        <w:tc>
          <w:tcPr>
            <w:tcW w:w="4870" w:type="dxa"/>
            <w:shd w:val="clear" w:color="auto" w:fill="auto"/>
          </w:tcPr>
          <w:p w:rsidR="002052AE" w:rsidRPr="00B756D3" w:rsidRDefault="0050334C" w:rsidP="00586E8C">
            <w:pPr>
              <w:rPr>
                <w:rFonts w:ascii="Arial" w:hAnsi="Arial" w:cs="Arial"/>
                <w:szCs w:val="22"/>
              </w:rPr>
            </w:pPr>
            <w:r w:rsidRPr="0050334C">
              <w:rPr>
                <w:rFonts w:ascii="Arial" w:hAnsi="Arial" w:cs="Arial"/>
                <w:sz w:val="22"/>
                <w:szCs w:val="22"/>
              </w:rPr>
              <w:t>The pay offer of 1% fo</w:t>
            </w:r>
            <w:r>
              <w:rPr>
                <w:rFonts w:ascii="Arial" w:hAnsi="Arial" w:cs="Arial"/>
                <w:sz w:val="22"/>
                <w:szCs w:val="22"/>
              </w:rPr>
              <w:t>r council staff with more (up to</w:t>
            </w:r>
            <w:r w:rsidRPr="0050334C">
              <w:rPr>
                <w:rFonts w:ascii="Arial" w:hAnsi="Arial" w:cs="Arial"/>
                <w:sz w:val="22"/>
                <w:szCs w:val="22"/>
              </w:rPr>
              <w:t xml:space="preserve"> 4.66%) for the bottom 6 pay points has been supported unanimously by councils who think it is reasonable in the context of the financial pressures they are facing. The unions have rejected the offer and gained support, via very low turnouts, for strike action on the 10th of July. All the usual advice and information has been provided to councils in preparation for this. An offer of 1% has also been made for firefighters and we are hopeful this will form the basis of a deal with the FBU. </w:t>
            </w:r>
          </w:p>
        </w:tc>
      </w:tr>
      <w:tr w:rsidR="00B6670F" w:rsidRPr="00B756D3" w:rsidTr="004B3F25">
        <w:tc>
          <w:tcPr>
            <w:tcW w:w="3652" w:type="dxa"/>
            <w:shd w:val="clear" w:color="auto" w:fill="auto"/>
          </w:tcPr>
          <w:p w:rsidR="00B6670F" w:rsidRPr="002A12F5" w:rsidRDefault="0050334C" w:rsidP="00283E28">
            <w:pPr>
              <w:pStyle w:val="MainText"/>
              <w:spacing w:line="240" w:lineRule="auto"/>
              <w:rPr>
                <w:rFonts w:ascii="Arial" w:hAnsi="Arial" w:cs="Arial"/>
                <w:b/>
                <w:szCs w:val="22"/>
              </w:rPr>
            </w:pPr>
            <w:r w:rsidRPr="0050334C">
              <w:rPr>
                <w:rFonts w:ascii="Arial" w:hAnsi="Arial" w:cs="Arial"/>
                <w:b/>
                <w:szCs w:val="22"/>
              </w:rPr>
              <w:t xml:space="preserve">Full membership - </w:t>
            </w:r>
            <w:r w:rsidRPr="0050334C">
              <w:rPr>
                <w:rFonts w:ascii="Arial" w:hAnsi="Arial" w:cs="Arial"/>
                <w:szCs w:val="22"/>
              </w:rPr>
              <w:t>we will maintain membership levels amongst local authorities in England and Wales by enhancing the benefits of membership.  Having significantly reduced subscriptions over the last five years, we will maintain subscriptions at current levels and continue to communicate on the benefits of membership directly with individual councils and all councillors.</w:t>
            </w:r>
          </w:p>
        </w:tc>
        <w:tc>
          <w:tcPr>
            <w:tcW w:w="4870" w:type="dxa"/>
            <w:shd w:val="clear" w:color="auto" w:fill="auto"/>
          </w:tcPr>
          <w:p w:rsidR="0050334C" w:rsidRPr="0050334C" w:rsidRDefault="0050334C" w:rsidP="0050334C">
            <w:pPr>
              <w:pStyle w:val="MainText"/>
              <w:rPr>
                <w:rFonts w:ascii="Arial" w:hAnsi="Arial" w:cs="Arial"/>
                <w:szCs w:val="22"/>
              </w:rPr>
            </w:pPr>
            <w:r w:rsidRPr="0050334C">
              <w:rPr>
                <w:rFonts w:ascii="Arial" w:hAnsi="Arial" w:cs="Arial"/>
                <w:szCs w:val="22"/>
              </w:rPr>
              <w:t>Membership levels maintained in 2014/15, with only two councils</w:t>
            </w:r>
            <w:r w:rsidR="00586E8C">
              <w:rPr>
                <w:rFonts w:ascii="Arial" w:hAnsi="Arial" w:cs="Arial"/>
                <w:szCs w:val="22"/>
              </w:rPr>
              <w:t xml:space="preserve"> currently out of membership but </w:t>
            </w:r>
            <w:r w:rsidRPr="0050334C">
              <w:rPr>
                <w:rFonts w:ascii="Arial" w:hAnsi="Arial" w:cs="Arial"/>
                <w:szCs w:val="22"/>
              </w:rPr>
              <w:t xml:space="preserve">13 </w:t>
            </w:r>
            <w:r w:rsidR="00586E8C">
              <w:rPr>
                <w:rFonts w:ascii="Arial" w:hAnsi="Arial" w:cs="Arial"/>
                <w:szCs w:val="22"/>
              </w:rPr>
              <w:t xml:space="preserve">are currently </w:t>
            </w:r>
            <w:r w:rsidRPr="0050334C">
              <w:rPr>
                <w:rFonts w:ascii="Arial" w:hAnsi="Arial" w:cs="Arial"/>
                <w:szCs w:val="22"/>
              </w:rPr>
              <w:t xml:space="preserve">on notice (compared with 31 </w:t>
            </w:r>
            <w:r w:rsidR="00586E8C">
              <w:rPr>
                <w:rFonts w:ascii="Arial" w:hAnsi="Arial" w:cs="Arial"/>
                <w:szCs w:val="22"/>
              </w:rPr>
              <w:t>this time last year</w:t>
            </w:r>
            <w:r w:rsidRPr="0050334C">
              <w:rPr>
                <w:rFonts w:ascii="Arial" w:hAnsi="Arial" w:cs="Arial"/>
                <w:szCs w:val="22"/>
              </w:rPr>
              <w:t xml:space="preserve">). </w:t>
            </w:r>
          </w:p>
          <w:p w:rsidR="009A7A7E" w:rsidRPr="002052AE" w:rsidRDefault="009A7A7E" w:rsidP="00586E8C">
            <w:pPr>
              <w:pStyle w:val="MainText"/>
              <w:rPr>
                <w:rFonts w:ascii="Arial" w:hAnsi="Arial" w:cs="Arial"/>
                <w:szCs w:val="22"/>
              </w:rPr>
            </w:pPr>
          </w:p>
        </w:tc>
      </w:tr>
      <w:tr w:rsidR="0050334C" w:rsidRPr="00B756D3" w:rsidTr="004B3F25">
        <w:tc>
          <w:tcPr>
            <w:tcW w:w="3652" w:type="dxa"/>
            <w:shd w:val="clear" w:color="auto" w:fill="auto"/>
          </w:tcPr>
          <w:p w:rsidR="0050334C" w:rsidRPr="0050334C" w:rsidRDefault="0050334C" w:rsidP="00283E28">
            <w:pPr>
              <w:pStyle w:val="MainText"/>
              <w:spacing w:line="240" w:lineRule="auto"/>
              <w:rPr>
                <w:rFonts w:ascii="Arial" w:hAnsi="Arial" w:cs="Arial"/>
                <w:szCs w:val="22"/>
              </w:rPr>
            </w:pPr>
            <w:r w:rsidRPr="0050334C">
              <w:rPr>
                <w:rFonts w:ascii="Arial" w:hAnsi="Arial" w:cs="Arial"/>
                <w:b/>
                <w:szCs w:val="22"/>
              </w:rPr>
              <w:t>Financial sustainability</w:t>
            </w:r>
            <w:r w:rsidRPr="0050334C">
              <w:rPr>
                <w:rFonts w:ascii="Arial" w:hAnsi="Arial" w:cs="Arial"/>
                <w:szCs w:val="22"/>
              </w:rPr>
              <w:t xml:space="preserve"> - we will work with our member authorities and government to ensure we secure core funding for the LGA from 2015/16 from subscriptions and LGA top-slice. We will also implement proposals to develop the commercial activities of the LGA and take action to ensure that we maximise the value of our two properties.</w:t>
            </w:r>
          </w:p>
        </w:tc>
        <w:tc>
          <w:tcPr>
            <w:tcW w:w="4870" w:type="dxa"/>
            <w:shd w:val="clear" w:color="auto" w:fill="auto"/>
          </w:tcPr>
          <w:p w:rsidR="0050334C" w:rsidRPr="0050334C" w:rsidRDefault="0050334C" w:rsidP="0050334C">
            <w:pPr>
              <w:pStyle w:val="MainText"/>
              <w:rPr>
                <w:rFonts w:ascii="Arial" w:hAnsi="Arial" w:cs="Arial"/>
                <w:szCs w:val="22"/>
              </w:rPr>
            </w:pPr>
            <w:r w:rsidRPr="0050334C">
              <w:rPr>
                <w:rFonts w:ascii="Arial" w:hAnsi="Arial" w:cs="Arial"/>
                <w:szCs w:val="22"/>
              </w:rPr>
              <w:t>EC Harris has been appointed to complete the options appraisal for Local Government House.</w:t>
            </w:r>
          </w:p>
          <w:p w:rsidR="0050334C" w:rsidRPr="0050334C" w:rsidRDefault="0050334C" w:rsidP="0050334C">
            <w:pPr>
              <w:pStyle w:val="MainText"/>
              <w:rPr>
                <w:rFonts w:ascii="Arial" w:hAnsi="Arial" w:cs="Arial"/>
                <w:szCs w:val="22"/>
              </w:rPr>
            </w:pPr>
            <w:r w:rsidRPr="0050334C">
              <w:rPr>
                <w:rFonts w:ascii="Arial" w:hAnsi="Arial" w:cs="Arial"/>
                <w:szCs w:val="22"/>
              </w:rPr>
              <w:t xml:space="preserve">City of London </w:t>
            </w:r>
            <w:proofErr w:type="gramStart"/>
            <w:r w:rsidRPr="0050334C">
              <w:rPr>
                <w:rFonts w:ascii="Arial" w:hAnsi="Arial" w:cs="Arial"/>
                <w:szCs w:val="22"/>
              </w:rPr>
              <w:t>are</w:t>
            </w:r>
            <w:proofErr w:type="gramEnd"/>
            <w:r w:rsidRPr="0050334C">
              <w:rPr>
                <w:rFonts w:ascii="Arial" w:hAnsi="Arial" w:cs="Arial"/>
                <w:szCs w:val="22"/>
              </w:rPr>
              <w:t xml:space="preserve"> now on board for LGA client side support for the refurbishment of </w:t>
            </w:r>
            <w:proofErr w:type="spellStart"/>
            <w:r w:rsidRPr="0050334C">
              <w:rPr>
                <w:rFonts w:ascii="Arial" w:hAnsi="Arial" w:cs="Arial"/>
                <w:szCs w:val="22"/>
              </w:rPr>
              <w:t>Layden</w:t>
            </w:r>
            <w:proofErr w:type="spellEnd"/>
            <w:r w:rsidRPr="0050334C">
              <w:rPr>
                <w:rFonts w:ascii="Arial" w:hAnsi="Arial" w:cs="Arial"/>
                <w:szCs w:val="22"/>
              </w:rPr>
              <w:t xml:space="preserve"> House.</w:t>
            </w:r>
          </w:p>
          <w:p w:rsidR="0050334C" w:rsidRDefault="0050334C" w:rsidP="0050334C">
            <w:pPr>
              <w:pStyle w:val="MainText"/>
              <w:rPr>
                <w:rFonts w:ascii="Arial" w:hAnsi="Arial" w:cs="Arial"/>
                <w:szCs w:val="22"/>
              </w:rPr>
            </w:pPr>
            <w:r w:rsidRPr="0050334C">
              <w:rPr>
                <w:rFonts w:ascii="Arial" w:hAnsi="Arial" w:cs="Arial"/>
                <w:szCs w:val="22"/>
              </w:rPr>
              <w:t xml:space="preserve">The 2015/16 RSG bid has been </w:t>
            </w:r>
            <w:r w:rsidR="001E0AF7">
              <w:rPr>
                <w:rFonts w:ascii="Arial" w:hAnsi="Arial" w:cs="Arial"/>
                <w:szCs w:val="22"/>
              </w:rPr>
              <w:t>submitted</w:t>
            </w:r>
            <w:r w:rsidRPr="0050334C">
              <w:rPr>
                <w:rFonts w:ascii="Arial" w:hAnsi="Arial" w:cs="Arial"/>
                <w:szCs w:val="22"/>
              </w:rPr>
              <w:t>.</w:t>
            </w:r>
          </w:p>
          <w:p w:rsidR="00586E8C" w:rsidRPr="0050334C" w:rsidRDefault="00586E8C" w:rsidP="0050334C">
            <w:pPr>
              <w:pStyle w:val="MainText"/>
              <w:rPr>
                <w:rFonts w:ascii="Arial" w:hAnsi="Arial" w:cs="Arial"/>
                <w:szCs w:val="22"/>
              </w:rPr>
            </w:pPr>
            <w:r>
              <w:rPr>
                <w:rFonts w:ascii="Arial" w:hAnsi="Arial" w:cs="Arial"/>
                <w:szCs w:val="22"/>
              </w:rPr>
              <w:t xml:space="preserve">However, the position with the LGA and </w:t>
            </w:r>
            <w:proofErr w:type="spellStart"/>
            <w:r>
              <w:rPr>
                <w:rFonts w:ascii="Arial" w:hAnsi="Arial" w:cs="Arial"/>
                <w:szCs w:val="22"/>
              </w:rPr>
              <w:t>IDeA</w:t>
            </w:r>
            <w:proofErr w:type="spellEnd"/>
            <w:r>
              <w:rPr>
                <w:rFonts w:ascii="Arial" w:hAnsi="Arial" w:cs="Arial"/>
                <w:szCs w:val="22"/>
              </w:rPr>
              <w:t xml:space="preserve"> pension deficits remains challenging.</w:t>
            </w:r>
          </w:p>
        </w:tc>
      </w:tr>
      <w:tr w:rsidR="0050334C" w:rsidRPr="00B756D3" w:rsidTr="004B3F25">
        <w:tc>
          <w:tcPr>
            <w:tcW w:w="3652" w:type="dxa"/>
            <w:shd w:val="clear" w:color="auto" w:fill="auto"/>
          </w:tcPr>
          <w:p w:rsidR="0050334C" w:rsidRPr="0050334C" w:rsidRDefault="0050334C" w:rsidP="00283E28">
            <w:pPr>
              <w:pStyle w:val="MainText"/>
              <w:spacing w:line="240" w:lineRule="auto"/>
              <w:rPr>
                <w:rFonts w:ascii="Arial" w:hAnsi="Arial" w:cs="Arial"/>
                <w:szCs w:val="22"/>
              </w:rPr>
            </w:pPr>
            <w:r w:rsidRPr="0050334C">
              <w:rPr>
                <w:rFonts w:ascii="Arial" w:hAnsi="Arial" w:cs="Arial"/>
                <w:b/>
                <w:szCs w:val="22"/>
              </w:rPr>
              <w:t>Efficient business management</w:t>
            </w:r>
            <w:r w:rsidRPr="0050334C">
              <w:rPr>
                <w:rFonts w:ascii="Arial" w:hAnsi="Arial" w:cs="Arial"/>
                <w:szCs w:val="22"/>
              </w:rPr>
              <w:t xml:space="preserve"> - we will continue to make changes to improve the efficiency of our back-office services, to achieve a further saving in our overheads</w:t>
            </w:r>
          </w:p>
        </w:tc>
        <w:tc>
          <w:tcPr>
            <w:tcW w:w="4870" w:type="dxa"/>
            <w:shd w:val="clear" w:color="auto" w:fill="auto"/>
          </w:tcPr>
          <w:p w:rsidR="0050334C" w:rsidRPr="0050334C" w:rsidRDefault="0050334C" w:rsidP="0050334C">
            <w:pPr>
              <w:pStyle w:val="MainText"/>
              <w:rPr>
                <w:rFonts w:ascii="Arial" w:hAnsi="Arial" w:cs="Arial"/>
                <w:szCs w:val="22"/>
              </w:rPr>
            </w:pPr>
            <w:r w:rsidRPr="0050334C">
              <w:rPr>
                <w:rFonts w:ascii="Arial" w:hAnsi="Arial" w:cs="Arial"/>
                <w:szCs w:val="22"/>
              </w:rPr>
              <w:t xml:space="preserve">Although </w:t>
            </w:r>
            <w:r w:rsidR="00974137">
              <w:rPr>
                <w:rFonts w:ascii="Arial" w:hAnsi="Arial" w:cs="Arial"/>
                <w:szCs w:val="22"/>
              </w:rPr>
              <w:t>overheads have been significantly reduced since the Liberata contract renegotiation in 2013, further work is needed to reduce overheads.</w:t>
            </w:r>
            <w:r w:rsidRPr="0050334C">
              <w:rPr>
                <w:rFonts w:ascii="Arial" w:hAnsi="Arial" w:cs="Arial"/>
                <w:szCs w:val="22"/>
              </w:rPr>
              <w:t xml:space="preserve"> </w:t>
            </w:r>
          </w:p>
          <w:p w:rsidR="0050334C" w:rsidRPr="0050334C" w:rsidRDefault="0050334C" w:rsidP="000A1A32">
            <w:pPr>
              <w:pStyle w:val="MainText"/>
              <w:rPr>
                <w:rFonts w:ascii="Arial" w:hAnsi="Arial" w:cs="Arial"/>
                <w:szCs w:val="22"/>
              </w:rPr>
            </w:pPr>
          </w:p>
        </w:tc>
      </w:tr>
    </w:tbl>
    <w:p w:rsidR="0011628E" w:rsidRDefault="0011628E" w:rsidP="000B5ADF">
      <w:pPr>
        <w:pStyle w:val="MainText"/>
        <w:spacing w:line="240" w:lineRule="auto"/>
        <w:rPr>
          <w:rFonts w:ascii="Arial" w:hAnsi="Arial" w:cs="Arial"/>
          <w:szCs w:val="22"/>
        </w:rPr>
      </w:pPr>
    </w:p>
    <w:p w:rsidR="0033241D" w:rsidRDefault="0033241D" w:rsidP="00297C14">
      <w:pPr>
        <w:pStyle w:val="MainText"/>
        <w:spacing w:line="240" w:lineRule="auto"/>
        <w:rPr>
          <w:rFonts w:ascii="Arial" w:hAnsi="Arial" w:cs="Arial"/>
          <w:b/>
          <w:szCs w:val="22"/>
        </w:rPr>
      </w:pPr>
    </w:p>
    <w:p w:rsidR="00CB2DEB" w:rsidRPr="00B756D3" w:rsidRDefault="00297C14" w:rsidP="00297C14">
      <w:pPr>
        <w:pStyle w:val="MainText"/>
        <w:spacing w:line="240" w:lineRule="auto"/>
        <w:rPr>
          <w:rFonts w:ascii="Arial" w:hAnsi="Arial" w:cs="Arial"/>
          <w:szCs w:val="22"/>
        </w:rPr>
      </w:pPr>
      <w:r w:rsidRPr="009F7169">
        <w:rPr>
          <w:rFonts w:ascii="Arial" w:hAnsi="Arial" w:cs="Arial"/>
          <w:b/>
          <w:szCs w:val="22"/>
        </w:rPr>
        <w:t>F</w:t>
      </w:r>
      <w:r w:rsidR="00CB2DEB" w:rsidRPr="009F7169">
        <w:rPr>
          <w:rFonts w:ascii="Arial" w:hAnsi="Arial" w:cs="Arial"/>
          <w:b/>
          <w:szCs w:val="22"/>
        </w:rPr>
        <w:t>inancial Performance</w:t>
      </w:r>
    </w:p>
    <w:p w:rsidR="00CB2DEB" w:rsidRPr="009F530F" w:rsidRDefault="00CB2DEB" w:rsidP="00CB2DEB">
      <w:pPr>
        <w:pStyle w:val="MainText"/>
        <w:spacing w:line="240" w:lineRule="auto"/>
        <w:rPr>
          <w:rFonts w:ascii="Arial" w:hAnsi="Arial" w:cs="Arial"/>
          <w:szCs w:val="22"/>
        </w:rPr>
      </w:pPr>
    </w:p>
    <w:p w:rsidR="002E3A0E" w:rsidRPr="00834ECB" w:rsidRDefault="0050334C" w:rsidP="00834ECB">
      <w:pPr>
        <w:pStyle w:val="ListParagraph"/>
        <w:numPr>
          <w:ilvl w:val="0"/>
          <w:numId w:val="22"/>
        </w:numPr>
        <w:rPr>
          <w:rFonts w:ascii="Arial" w:hAnsi="Arial" w:cs="Arial"/>
          <w:sz w:val="22"/>
          <w:szCs w:val="22"/>
        </w:rPr>
      </w:pPr>
      <w:r w:rsidRPr="0050334C">
        <w:rPr>
          <w:rFonts w:ascii="Arial" w:hAnsi="Arial" w:cs="Arial"/>
          <w:sz w:val="22"/>
          <w:szCs w:val="22"/>
        </w:rPr>
        <w:t xml:space="preserve">The management accounts to the end of </w:t>
      </w:r>
      <w:r w:rsidR="006B5E67">
        <w:rPr>
          <w:rFonts w:ascii="Arial" w:hAnsi="Arial" w:cs="Arial"/>
          <w:sz w:val="22"/>
          <w:szCs w:val="22"/>
        </w:rPr>
        <w:t>August</w:t>
      </w:r>
      <w:r>
        <w:rPr>
          <w:rFonts w:ascii="Arial" w:hAnsi="Arial" w:cs="Arial"/>
          <w:sz w:val="22"/>
          <w:szCs w:val="22"/>
        </w:rPr>
        <w:t xml:space="preserve"> 2014</w:t>
      </w:r>
      <w:r w:rsidRPr="0050334C">
        <w:rPr>
          <w:rFonts w:ascii="Arial" w:hAnsi="Arial" w:cs="Arial"/>
          <w:sz w:val="22"/>
          <w:szCs w:val="22"/>
        </w:rPr>
        <w:t xml:space="preserve"> are included at </w:t>
      </w:r>
      <w:r w:rsidRPr="0050334C">
        <w:rPr>
          <w:rFonts w:ascii="Arial" w:hAnsi="Arial" w:cs="Arial"/>
          <w:b/>
          <w:sz w:val="22"/>
          <w:szCs w:val="22"/>
        </w:rPr>
        <w:t>Appendix B</w:t>
      </w:r>
      <w:r w:rsidR="00B15EA5">
        <w:rPr>
          <w:rFonts w:ascii="Arial" w:hAnsi="Arial" w:cs="Arial"/>
          <w:sz w:val="22"/>
          <w:szCs w:val="22"/>
        </w:rPr>
        <w:t>.</w:t>
      </w:r>
      <w:r w:rsidR="00834ECB">
        <w:rPr>
          <w:rFonts w:ascii="Arial" w:hAnsi="Arial" w:cs="Arial"/>
          <w:sz w:val="22"/>
          <w:szCs w:val="22"/>
        </w:rPr>
        <w:t xml:space="preserve"> </w:t>
      </w:r>
      <w:r w:rsidR="001D39FB" w:rsidRPr="00834ECB">
        <w:rPr>
          <w:rFonts w:ascii="Arial" w:hAnsi="Arial" w:cs="Arial"/>
          <w:sz w:val="22"/>
          <w:szCs w:val="22"/>
        </w:rPr>
        <w:t xml:space="preserve">At this stage, </w:t>
      </w:r>
      <w:r w:rsidR="00F476C6">
        <w:rPr>
          <w:rFonts w:ascii="Arial" w:hAnsi="Arial" w:cs="Arial"/>
          <w:sz w:val="22"/>
          <w:szCs w:val="22"/>
        </w:rPr>
        <w:t>an under</w:t>
      </w:r>
      <w:r w:rsidR="00085325">
        <w:rPr>
          <w:rFonts w:ascii="Arial" w:hAnsi="Arial" w:cs="Arial"/>
          <w:sz w:val="22"/>
          <w:szCs w:val="22"/>
        </w:rPr>
        <w:t xml:space="preserve"> </w:t>
      </w:r>
      <w:r w:rsidR="00F476C6">
        <w:rPr>
          <w:rFonts w:ascii="Arial" w:hAnsi="Arial" w:cs="Arial"/>
          <w:sz w:val="22"/>
          <w:szCs w:val="22"/>
        </w:rPr>
        <w:t>spend of £680k is projected for the year</w:t>
      </w:r>
      <w:r w:rsidR="001D39FB" w:rsidRPr="00834ECB">
        <w:rPr>
          <w:rFonts w:ascii="Arial" w:hAnsi="Arial" w:cs="Arial"/>
          <w:sz w:val="22"/>
          <w:szCs w:val="22"/>
        </w:rPr>
        <w:t>.</w:t>
      </w:r>
      <w:r w:rsidR="00F476C6">
        <w:rPr>
          <w:rFonts w:ascii="Arial" w:hAnsi="Arial" w:cs="Arial"/>
          <w:sz w:val="22"/>
          <w:szCs w:val="22"/>
        </w:rPr>
        <w:t xml:space="preserve"> A mid-year review of budget performance will be presented to the next Leadership Board.</w:t>
      </w:r>
    </w:p>
    <w:p w:rsidR="002E3A0E" w:rsidRDefault="002E3A0E" w:rsidP="002E3A0E">
      <w:pPr>
        <w:pStyle w:val="ListParagraph"/>
        <w:rPr>
          <w:rFonts w:ascii="Arial" w:hAnsi="Arial" w:cs="Arial"/>
          <w:szCs w:val="22"/>
        </w:rPr>
      </w:pPr>
    </w:p>
    <w:p w:rsidR="002E3A0E" w:rsidRDefault="002E3A0E" w:rsidP="002E3A0E">
      <w:pPr>
        <w:pStyle w:val="MainText"/>
        <w:spacing w:line="240" w:lineRule="auto"/>
        <w:ind w:left="680"/>
        <w:rPr>
          <w:rFonts w:ascii="Arial" w:hAnsi="Arial" w:cs="Arial"/>
          <w:szCs w:val="22"/>
        </w:rPr>
      </w:pPr>
    </w:p>
    <w:p w:rsidR="00CB2DEB" w:rsidRPr="00B756D3" w:rsidRDefault="00CB2DEB" w:rsidP="00862660">
      <w:pPr>
        <w:pStyle w:val="MainText"/>
        <w:spacing w:line="240" w:lineRule="auto"/>
        <w:rPr>
          <w:rFonts w:ascii="Arial" w:hAnsi="Arial" w:cs="Arial"/>
          <w:szCs w:val="22"/>
        </w:rPr>
      </w:pPr>
      <w:r w:rsidRPr="009F7169">
        <w:rPr>
          <w:rFonts w:ascii="Arial" w:hAnsi="Arial" w:cs="Arial"/>
          <w:b/>
          <w:szCs w:val="22"/>
        </w:rPr>
        <w:t>Corporate Health Indicators</w:t>
      </w:r>
    </w:p>
    <w:p w:rsidR="00CB2DEB" w:rsidRPr="00B756D3" w:rsidRDefault="00CB2DEB" w:rsidP="00CB2DEB">
      <w:pPr>
        <w:pStyle w:val="MainText"/>
        <w:spacing w:line="240" w:lineRule="auto"/>
        <w:rPr>
          <w:rFonts w:ascii="Arial" w:hAnsi="Arial" w:cs="Arial"/>
          <w:b/>
          <w:szCs w:val="22"/>
        </w:rPr>
      </w:pPr>
    </w:p>
    <w:p w:rsidR="00B756D3" w:rsidRDefault="00B2329E" w:rsidP="00B756D3">
      <w:pPr>
        <w:numPr>
          <w:ilvl w:val="0"/>
          <w:numId w:val="22"/>
        </w:numPr>
        <w:rPr>
          <w:rFonts w:ascii="Arial" w:hAnsi="Arial" w:cs="Arial"/>
          <w:sz w:val="22"/>
          <w:szCs w:val="22"/>
        </w:rPr>
      </w:pPr>
      <w:r w:rsidRPr="00B756D3">
        <w:rPr>
          <w:rFonts w:ascii="Arial" w:hAnsi="Arial" w:cs="Arial"/>
          <w:sz w:val="22"/>
          <w:szCs w:val="22"/>
        </w:rPr>
        <w:t xml:space="preserve">The </w:t>
      </w:r>
      <w:r w:rsidR="00834ECB">
        <w:rPr>
          <w:rFonts w:ascii="Arial" w:hAnsi="Arial" w:cs="Arial"/>
          <w:sz w:val="22"/>
          <w:szCs w:val="22"/>
        </w:rPr>
        <w:t>first six months</w:t>
      </w:r>
      <w:r w:rsidR="00CB2DEB" w:rsidRPr="00B756D3">
        <w:rPr>
          <w:rFonts w:ascii="Arial" w:hAnsi="Arial" w:cs="Arial"/>
          <w:sz w:val="22"/>
          <w:szCs w:val="22"/>
        </w:rPr>
        <w:t xml:space="preserve"> report on the LGA’s Corporate Health Indicators is presented at </w:t>
      </w:r>
      <w:r w:rsidR="00CB2DEB" w:rsidRPr="00B756D3">
        <w:rPr>
          <w:rFonts w:ascii="Arial" w:hAnsi="Arial" w:cs="Arial"/>
          <w:b/>
          <w:sz w:val="22"/>
          <w:szCs w:val="22"/>
          <w:u w:val="single"/>
        </w:rPr>
        <w:t xml:space="preserve">Appendix </w:t>
      </w:r>
      <w:r w:rsidR="001D39FB">
        <w:rPr>
          <w:rFonts w:ascii="Arial" w:hAnsi="Arial" w:cs="Arial"/>
          <w:b/>
          <w:sz w:val="22"/>
          <w:szCs w:val="22"/>
          <w:u w:val="single"/>
        </w:rPr>
        <w:t>C</w:t>
      </w:r>
      <w:r w:rsidR="00094BA7">
        <w:rPr>
          <w:rFonts w:ascii="Arial" w:hAnsi="Arial" w:cs="Arial"/>
          <w:sz w:val="22"/>
          <w:szCs w:val="22"/>
        </w:rPr>
        <w:t>. Key issues are</w:t>
      </w:r>
      <w:r w:rsidR="00CB2DEB" w:rsidRPr="00B756D3">
        <w:rPr>
          <w:rFonts w:ascii="Arial" w:hAnsi="Arial" w:cs="Arial"/>
          <w:sz w:val="22"/>
          <w:szCs w:val="22"/>
        </w:rPr>
        <w:t>:</w:t>
      </w:r>
    </w:p>
    <w:p w:rsidR="00B756D3" w:rsidRDefault="00B756D3" w:rsidP="00B756D3">
      <w:pPr>
        <w:ind w:left="680"/>
        <w:rPr>
          <w:rFonts w:ascii="Arial" w:hAnsi="Arial" w:cs="Arial"/>
          <w:sz w:val="22"/>
          <w:szCs w:val="22"/>
        </w:rPr>
      </w:pPr>
    </w:p>
    <w:p w:rsidR="00050898" w:rsidRPr="00D44864" w:rsidRDefault="00CC319B" w:rsidP="00050898">
      <w:pPr>
        <w:numPr>
          <w:ilvl w:val="1"/>
          <w:numId w:val="22"/>
        </w:numPr>
        <w:rPr>
          <w:rFonts w:ascii="Arial" w:hAnsi="Arial" w:cs="Arial"/>
          <w:sz w:val="22"/>
          <w:szCs w:val="22"/>
        </w:rPr>
      </w:pPr>
      <w:r w:rsidRPr="002E3A0E">
        <w:rPr>
          <w:rFonts w:ascii="Arial" w:hAnsi="Arial" w:cs="Arial"/>
          <w:b/>
          <w:sz w:val="22"/>
          <w:szCs w:val="22"/>
        </w:rPr>
        <w:t>Membership</w:t>
      </w:r>
      <w:r w:rsidRPr="002E3A0E">
        <w:rPr>
          <w:rFonts w:ascii="Arial" w:hAnsi="Arial" w:cs="Arial"/>
          <w:sz w:val="22"/>
          <w:szCs w:val="22"/>
        </w:rPr>
        <w:t xml:space="preserve"> - t</w:t>
      </w:r>
      <w:r w:rsidR="00CB2DEB" w:rsidRPr="002E3A0E">
        <w:rPr>
          <w:rFonts w:ascii="Arial" w:hAnsi="Arial" w:cs="Arial"/>
          <w:sz w:val="22"/>
          <w:szCs w:val="22"/>
        </w:rPr>
        <w:t xml:space="preserve">he number of authorities </w:t>
      </w:r>
      <w:r w:rsidRPr="002E3A0E">
        <w:rPr>
          <w:rFonts w:ascii="Arial" w:hAnsi="Arial" w:cs="Arial"/>
          <w:sz w:val="22"/>
          <w:szCs w:val="22"/>
        </w:rPr>
        <w:t>out of memb</w:t>
      </w:r>
      <w:r w:rsidR="009979FD" w:rsidRPr="002E3A0E">
        <w:rPr>
          <w:rFonts w:ascii="Arial" w:hAnsi="Arial" w:cs="Arial"/>
          <w:sz w:val="22"/>
          <w:szCs w:val="22"/>
        </w:rPr>
        <w:t xml:space="preserve">ership has been </w:t>
      </w:r>
      <w:r w:rsidR="009979FD" w:rsidRPr="00D44864">
        <w:rPr>
          <w:rFonts w:ascii="Arial" w:hAnsi="Arial" w:cs="Arial"/>
          <w:sz w:val="22"/>
          <w:szCs w:val="22"/>
        </w:rPr>
        <w:t>maintained at 2</w:t>
      </w:r>
      <w:r w:rsidR="00F476C6">
        <w:rPr>
          <w:rFonts w:ascii="Arial" w:hAnsi="Arial" w:cs="Arial"/>
          <w:sz w:val="22"/>
          <w:szCs w:val="22"/>
        </w:rPr>
        <w:t>, although 13 councils are currently on notice to leave in April 2015</w:t>
      </w:r>
      <w:r w:rsidR="009979FD" w:rsidRPr="00D44864">
        <w:rPr>
          <w:rFonts w:ascii="Arial" w:hAnsi="Arial" w:cs="Arial"/>
          <w:sz w:val="22"/>
          <w:szCs w:val="22"/>
        </w:rPr>
        <w:t xml:space="preserve">. </w:t>
      </w:r>
      <w:r w:rsidR="00F476C6">
        <w:rPr>
          <w:rFonts w:ascii="Arial" w:hAnsi="Arial" w:cs="Arial"/>
          <w:sz w:val="22"/>
          <w:szCs w:val="22"/>
        </w:rPr>
        <w:t>All member subscriptions for 2014/15 have now been collected.</w:t>
      </w:r>
    </w:p>
    <w:p w:rsidR="00055BD7" w:rsidRPr="00F476C6" w:rsidRDefault="00055BD7" w:rsidP="00F476C6">
      <w:pPr>
        <w:rPr>
          <w:rFonts w:ascii="Arial" w:hAnsi="Arial" w:cs="Arial"/>
          <w:b/>
          <w:sz w:val="22"/>
          <w:szCs w:val="22"/>
        </w:rPr>
      </w:pPr>
    </w:p>
    <w:p w:rsidR="00F476C6" w:rsidRDefault="00CC319B" w:rsidP="00F476C6">
      <w:pPr>
        <w:numPr>
          <w:ilvl w:val="1"/>
          <w:numId w:val="22"/>
        </w:numPr>
        <w:rPr>
          <w:rFonts w:ascii="Arial" w:hAnsi="Arial" w:cs="Arial"/>
          <w:sz w:val="22"/>
          <w:szCs w:val="22"/>
        </w:rPr>
      </w:pPr>
      <w:r w:rsidRPr="00B756D3">
        <w:rPr>
          <w:rFonts w:ascii="Arial" w:hAnsi="Arial" w:cs="Arial"/>
          <w:b/>
          <w:sz w:val="22"/>
          <w:szCs w:val="22"/>
        </w:rPr>
        <w:t xml:space="preserve">Financial sustainability </w:t>
      </w:r>
      <w:r w:rsidRPr="00AC2A97">
        <w:rPr>
          <w:rFonts w:ascii="Arial" w:hAnsi="Arial" w:cs="Arial"/>
          <w:sz w:val="22"/>
          <w:szCs w:val="22"/>
        </w:rPr>
        <w:t>-</w:t>
      </w:r>
      <w:r w:rsidRPr="00B756D3">
        <w:rPr>
          <w:rFonts w:ascii="Arial" w:hAnsi="Arial" w:cs="Arial"/>
          <w:sz w:val="22"/>
          <w:szCs w:val="22"/>
        </w:rPr>
        <w:t xml:space="preserve"> </w:t>
      </w:r>
      <w:r w:rsidR="00054DC8" w:rsidRPr="00B756D3">
        <w:rPr>
          <w:rFonts w:ascii="Arial" w:hAnsi="Arial" w:cs="Arial"/>
          <w:sz w:val="22"/>
          <w:szCs w:val="22"/>
        </w:rPr>
        <w:t>t</w:t>
      </w:r>
      <w:r w:rsidR="00CB2DEB" w:rsidRPr="00B756D3">
        <w:rPr>
          <w:rFonts w:ascii="Arial" w:hAnsi="Arial" w:cs="Arial"/>
          <w:sz w:val="22"/>
          <w:szCs w:val="22"/>
        </w:rPr>
        <w:t xml:space="preserve">otal headcount has </w:t>
      </w:r>
      <w:r w:rsidR="00AC2A97">
        <w:rPr>
          <w:rFonts w:ascii="Arial" w:hAnsi="Arial" w:cs="Arial"/>
          <w:sz w:val="22"/>
          <w:szCs w:val="22"/>
        </w:rPr>
        <w:t xml:space="preserve">marginally increased </w:t>
      </w:r>
      <w:r w:rsidR="00F476C6">
        <w:rPr>
          <w:rFonts w:ascii="Arial" w:hAnsi="Arial" w:cs="Arial"/>
          <w:sz w:val="22"/>
          <w:szCs w:val="22"/>
        </w:rPr>
        <w:t>due to an</w:t>
      </w:r>
      <w:r w:rsidR="00AC2A97">
        <w:rPr>
          <w:rFonts w:ascii="Arial" w:hAnsi="Arial" w:cs="Arial"/>
          <w:sz w:val="22"/>
          <w:szCs w:val="22"/>
        </w:rPr>
        <w:t xml:space="preserve"> increase in the number of </w:t>
      </w:r>
      <w:r w:rsidR="00F476C6">
        <w:rPr>
          <w:rFonts w:ascii="Arial" w:hAnsi="Arial" w:cs="Arial"/>
          <w:sz w:val="22"/>
          <w:szCs w:val="22"/>
        </w:rPr>
        <w:t>grant-funded posts. 1% of debts are over 12 months old, with 94% of debts between 0-2 months old.</w:t>
      </w:r>
    </w:p>
    <w:p w:rsidR="00F476C6" w:rsidRDefault="00F476C6" w:rsidP="00F476C6">
      <w:pPr>
        <w:pStyle w:val="ListParagraph"/>
        <w:rPr>
          <w:rFonts w:ascii="Arial" w:hAnsi="Arial" w:cs="Arial"/>
          <w:b/>
          <w:sz w:val="22"/>
          <w:szCs w:val="22"/>
        </w:rPr>
      </w:pPr>
    </w:p>
    <w:p w:rsidR="00F476C6" w:rsidRPr="00055BD7" w:rsidRDefault="00F476C6" w:rsidP="00F476C6">
      <w:pPr>
        <w:numPr>
          <w:ilvl w:val="1"/>
          <w:numId w:val="22"/>
        </w:numPr>
        <w:rPr>
          <w:rFonts w:ascii="Arial" w:hAnsi="Arial" w:cs="Arial"/>
          <w:sz w:val="22"/>
          <w:szCs w:val="22"/>
        </w:rPr>
      </w:pPr>
      <w:r w:rsidRPr="00055BD7">
        <w:rPr>
          <w:rFonts w:ascii="Arial" w:hAnsi="Arial" w:cs="Arial"/>
          <w:b/>
          <w:sz w:val="22"/>
          <w:szCs w:val="22"/>
        </w:rPr>
        <w:t>Liberata Contract</w:t>
      </w:r>
      <w:r>
        <w:rPr>
          <w:rFonts w:ascii="Arial" w:hAnsi="Arial" w:cs="Arial"/>
          <w:sz w:val="22"/>
          <w:szCs w:val="22"/>
        </w:rPr>
        <w:t xml:space="preserve"> – the Liberata customer survey took place in March 2014.  All areas were relatively stable compared with the previous year’s ratings but all were 10% below target satisfaction levels.</w:t>
      </w:r>
    </w:p>
    <w:p w:rsidR="00094BA7" w:rsidRPr="00F476C6" w:rsidRDefault="00094BA7" w:rsidP="00F476C6">
      <w:pPr>
        <w:ind w:left="680"/>
        <w:rPr>
          <w:rFonts w:ascii="Arial" w:hAnsi="Arial" w:cs="Arial"/>
          <w:sz w:val="22"/>
          <w:szCs w:val="22"/>
        </w:rPr>
      </w:pPr>
    </w:p>
    <w:p w:rsidR="00AC2A97" w:rsidRPr="00AC2A97" w:rsidRDefault="00AC2A97" w:rsidP="00A959A2">
      <w:pPr>
        <w:numPr>
          <w:ilvl w:val="1"/>
          <w:numId w:val="22"/>
        </w:numPr>
        <w:rPr>
          <w:rFonts w:ascii="Arial" w:hAnsi="Arial" w:cs="Arial"/>
          <w:sz w:val="22"/>
          <w:szCs w:val="22"/>
        </w:rPr>
      </w:pPr>
      <w:r w:rsidRPr="00AC2A97">
        <w:rPr>
          <w:rFonts w:ascii="Arial" w:hAnsi="Arial" w:cs="Arial"/>
          <w:b/>
          <w:sz w:val="22"/>
          <w:szCs w:val="22"/>
        </w:rPr>
        <w:t>People Management</w:t>
      </w:r>
      <w:r>
        <w:rPr>
          <w:rFonts w:ascii="Arial" w:hAnsi="Arial" w:cs="Arial"/>
          <w:sz w:val="22"/>
          <w:szCs w:val="22"/>
        </w:rPr>
        <w:t xml:space="preserve"> – average annual sickness has decreased slightly in the first quarter from 3.15 days to 2.7 days. </w:t>
      </w:r>
      <w:r w:rsidR="00F476C6">
        <w:rPr>
          <w:rFonts w:ascii="Arial" w:hAnsi="Arial" w:cs="Arial"/>
          <w:sz w:val="22"/>
          <w:szCs w:val="22"/>
        </w:rPr>
        <w:t>The</w:t>
      </w:r>
      <w:r>
        <w:rPr>
          <w:rFonts w:ascii="Arial" w:hAnsi="Arial" w:cs="Arial"/>
          <w:sz w:val="22"/>
          <w:szCs w:val="22"/>
        </w:rPr>
        <w:t xml:space="preserve"> proportion of BAME employees as a percentage of the total workforce has slightly increased in the first quarter to 16.72%. The number of BAME senior managers remains constant at 12.82%.</w:t>
      </w:r>
    </w:p>
    <w:p w:rsidR="00AC2A97" w:rsidRDefault="00AC2A97" w:rsidP="00AC2A97">
      <w:pPr>
        <w:pStyle w:val="ListParagraph"/>
        <w:rPr>
          <w:rFonts w:ascii="Arial" w:hAnsi="Arial" w:cs="Arial"/>
          <w:b/>
          <w:sz w:val="22"/>
          <w:szCs w:val="22"/>
        </w:rPr>
      </w:pPr>
    </w:p>
    <w:p w:rsidR="00094BA7" w:rsidRDefault="00094BA7" w:rsidP="00A959A2">
      <w:pPr>
        <w:numPr>
          <w:ilvl w:val="1"/>
          <w:numId w:val="22"/>
        </w:numPr>
        <w:rPr>
          <w:rFonts w:ascii="Arial" w:hAnsi="Arial" w:cs="Arial"/>
          <w:sz w:val="22"/>
          <w:szCs w:val="22"/>
        </w:rPr>
      </w:pPr>
      <w:r w:rsidRPr="00AC0BE6">
        <w:rPr>
          <w:rFonts w:ascii="Arial" w:hAnsi="Arial" w:cs="Arial"/>
          <w:b/>
          <w:sz w:val="22"/>
          <w:szCs w:val="22"/>
        </w:rPr>
        <w:t>Employee survey</w:t>
      </w:r>
      <w:r>
        <w:rPr>
          <w:rFonts w:ascii="Arial" w:hAnsi="Arial" w:cs="Arial"/>
          <w:sz w:val="22"/>
          <w:szCs w:val="22"/>
        </w:rPr>
        <w:t xml:space="preserve"> – the annual employee survey</w:t>
      </w:r>
      <w:r w:rsidR="00F476C6">
        <w:rPr>
          <w:rFonts w:ascii="Arial" w:hAnsi="Arial" w:cs="Arial"/>
          <w:sz w:val="22"/>
          <w:szCs w:val="22"/>
        </w:rPr>
        <w:t xml:space="preserve"> took place in June 2014. T</w:t>
      </w:r>
      <w:r w:rsidR="00AC2A97">
        <w:rPr>
          <w:rFonts w:ascii="Arial" w:hAnsi="Arial" w:cs="Arial"/>
          <w:sz w:val="22"/>
          <w:szCs w:val="22"/>
        </w:rPr>
        <w:t xml:space="preserve">he results </w:t>
      </w:r>
      <w:r w:rsidR="00F476C6">
        <w:rPr>
          <w:rFonts w:ascii="Arial" w:hAnsi="Arial" w:cs="Arial"/>
          <w:sz w:val="22"/>
          <w:szCs w:val="22"/>
        </w:rPr>
        <w:t xml:space="preserve">are currently being reviewed and </w:t>
      </w:r>
      <w:r w:rsidR="00AC2A97">
        <w:rPr>
          <w:rFonts w:ascii="Arial" w:hAnsi="Arial" w:cs="Arial"/>
          <w:sz w:val="22"/>
          <w:szCs w:val="22"/>
        </w:rPr>
        <w:t xml:space="preserve">will be presented in </w:t>
      </w:r>
      <w:r w:rsidR="00F476C6">
        <w:rPr>
          <w:rFonts w:ascii="Arial" w:hAnsi="Arial" w:cs="Arial"/>
          <w:sz w:val="22"/>
          <w:szCs w:val="22"/>
        </w:rPr>
        <w:t xml:space="preserve">the December performance report. </w:t>
      </w:r>
    </w:p>
    <w:p w:rsidR="0081033D" w:rsidRDefault="0081033D" w:rsidP="001E0AF7">
      <w:pPr>
        <w:pStyle w:val="MainText"/>
        <w:spacing w:line="240" w:lineRule="auto"/>
        <w:rPr>
          <w:rFonts w:ascii="Arial" w:hAnsi="Arial" w:cs="Arial"/>
          <w:szCs w:val="22"/>
        </w:rPr>
      </w:pPr>
    </w:p>
    <w:p w:rsidR="00B15B09" w:rsidRPr="0029035F" w:rsidRDefault="00B15B09" w:rsidP="00B15B09">
      <w:pPr>
        <w:ind w:left="680"/>
        <w:rPr>
          <w:rFonts w:ascii="Arial" w:hAnsi="Arial" w:cs="Arial"/>
          <w:sz w:val="22"/>
          <w:szCs w:val="22"/>
        </w:rPr>
      </w:pPr>
    </w:p>
    <w:p w:rsidR="00CB2DEB" w:rsidRPr="00B756D3" w:rsidRDefault="000C1D0A" w:rsidP="00840685">
      <w:pPr>
        <w:pStyle w:val="MainText"/>
        <w:spacing w:line="240" w:lineRule="auto"/>
        <w:rPr>
          <w:rFonts w:ascii="Arial" w:hAnsi="Arial" w:cs="Arial"/>
          <w:szCs w:val="22"/>
        </w:rPr>
      </w:pPr>
      <w:r w:rsidRPr="00B756D3">
        <w:rPr>
          <w:rFonts w:ascii="Arial" w:hAnsi="Arial" w:cs="Arial"/>
          <w:b/>
          <w:szCs w:val="22"/>
        </w:rPr>
        <w:t>Conclusion and n</w:t>
      </w:r>
      <w:r w:rsidR="00CB2DEB" w:rsidRPr="00B756D3">
        <w:rPr>
          <w:rFonts w:ascii="Arial" w:hAnsi="Arial" w:cs="Arial"/>
          <w:b/>
          <w:szCs w:val="22"/>
        </w:rPr>
        <w:t>ext steps</w:t>
      </w:r>
    </w:p>
    <w:p w:rsidR="00CB2DEB" w:rsidRPr="00B756D3" w:rsidRDefault="00CB2DEB" w:rsidP="00CB2DEB">
      <w:pPr>
        <w:pStyle w:val="MainText"/>
        <w:tabs>
          <w:tab w:val="num" w:pos="1920"/>
        </w:tabs>
        <w:spacing w:line="240" w:lineRule="auto"/>
        <w:rPr>
          <w:rFonts w:ascii="Arial" w:hAnsi="Arial" w:cs="Arial"/>
          <w:b/>
          <w:szCs w:val="22"/>
        </w:rPr>
      </w:pPr>
    </w:p>
    <w:p w:rsidR="00B756D3" w:rsidRDefault="00575348" w:rsidP="00B756D3">
      <w:pPr>
        <w:numPr>
          <w:ilvl w:val="0"/>
          <w:numId w:val="22"/>
        </w:numPr>
        <w:rPr>
          <w:rFonts w:ascii="Arial" w:hAnsi="Arial" w:cs="Arial"/>
          <w:sz w:val="22"/>
          <w:szCs w:val="22"/>
        </w:rPr>
      </w:pPr>
      <w:r>
        <w:rPr>
          <w:rFonts w:ascii="Arial" w:hAnsi="Arial" w:cs="Arial"/>
          <w:sz w:val="22"/>
          <w:szCs w:val="22"/>
        </w:rPr>
        <w:t>Leadership Board is</w:t>
      </w:r>
      <w:r w:rsidR="003F7094" w:rsidRPr="00B756D3">
        <w:rPr>
          <w:rFonts w:ascii="Arial" w:hAnsi="Arial" w:cs="Arial"/>
          <w:sz w:val="22"/>
          <w:szCs w:val="22"/>
        </w:rPr>
        <w:t xml:space="preserve"> invited to comment on the LGA’s overall performance in </w:t>
      </w:r>
      <w:r w:rsidR="00055BD7">
        <w:rPr>
          <w:rFonts w:ascii="Arial" w:hAnsi="Arial" w:cs="Arial"/>
          <w:sz w:val="22"/>
          <w:szCs w:val="22"/>
        </w:rPr>
        <w:t>2014/15</w:t>
      </w:r>
      <w:r w:rsidR="00F85271">
        <w:rPr>
          <w:rFonts w:ascii="Arial" w:hAnsi="Arial" w:cs="Arial"/>
          <w:sz w:val="22"/>
          <w:szCs w:val="22"/>
        </w:rPr>
        <w:t>.</w:t>
      </w:r>
    </w:p>
    <w:p w:rsidR="00B756D3" w:rsidRDefault="00B756D3" w:rsidP="00B756D3">
      <w:pPr>
        <w:ind w:left="680"/>
        <w:rPr>
          <w:rFonts w:ascii="Arial" w:hAnsi="Arial" w:cs="Arial"/>
          <w:sz w:val="22"/>
          <w:szCs w:val="22"/>
        </w:rPr>
      </w:pPr>
    </w:p>
    <w:p w:rsidR="00CB2DEB" w:rsidRPr="00B756D3" w:rsidRDefault="00DC47A1" w:rsidP="00B756D3">
      <w:pPr>
        <w:numPr>
          <w:ilvl w:val="0"/>
          <w:numId w:val="22"/>
        </w:numPr>
        <w:rPr>
          <w:rFonts w:ascii="Arial" w:hAnsi="Arial" w:cs="Arial"/>
          <w:sz w:val="22"/>
          <w:szCs w:val="22"/>
        </w:rPr>
      </w:pPr>
      <w:r>
        <w:rPr>
          <w:rFonts w:ascii="Arial" w:hAnsi="Arial" w:cs="Arial"/>
          <w:sz w:val="22"/>
          <w:szCs w:val="22"/>
        </w:rPr>
        <w:t>The 9</w:t>
      </w:r>
      <w:r w:rsidR="00055BD7">
        <w:rPr>
          <w:rFonts w:ascii="Arial" w:hAnsi="Arial" w:cs="Arial"/>
          <w:sz w:val="22"/>
          <w:szCs w:val="22"/>
        </w:rPr>
        <w:t xml:space="preserve"> month performance report will be presented in </w:t>
      </w:r>
      <w:r>
        <w:rPr>
          <w:rFonts w:ascii="Arial" w:hAnsi="Arial" w:cs="Arial"/>
          <w:sz w:val="22"/>
          <w:szCs w:val="22"/>
        </w:rPr>
        <w:t>January 2015</w:t>
      </w:r>
      <w:r w:rsidR="00055BD7">
        <w:rPr>
          <w:rFonts w:ascii="Arial" w:hAnsi="Arial" w:cs="Arial"/>
          <w:sz w:val="22"/>
          <w:szCs w:val="22"/>
        </w:rPr>
        <w:t>.</w:t>
      </w:r>
      <w:r w:rsidR="00A73941">
        <w:rPr>
          <w:rFonts w:ascii="Arial" w:hAnsi="Arial" w:cs="Arial"/>
          <w:sz w:val="22"/>
          <w:szCs w:val="22"/>
        </w:rPr>
        <w:t xml:space="preserve"> </w:t>
      </w:r>
    </w:p>
    <w:sectPr w:rsidR="00CB2DEB" w:rsidRPr="00B756D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27" w:rsidRDefault="00862927">
      <w:r>
        <w:separator/>
      </w:r>
    </w:p>
  </w:endnote>
  <w:endnote w:type="continuationSeparator" w:id="0">
    <w:p w:rsidR="00862927" w:rsidRDefault="0086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Raavi"/>
    <w:panose1 w:val="020B0500000000000000"/>
    <w:charset w:val="00"/>
    <w:family w:val="swiss"/>
    <w:pitch w:val="variable"/>
    <w:sig w:usb0="00000003" w:usb1="00000000" w:usb2="00000000" w:usb3="00000000" w:csb0="00000001" w:csb1="00000000"/>
  </w:font>
  <w:font w:name="Frutiger 45 Light">
    <w:altName w:val="Raav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31" w:rsidRDefault="00245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31" w:rsidRDefault="00245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31" w:rsidRDefault="00245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27" w:rsidRDefault="00862927">
      <w:r>
        <w:separator/>
      </w:r>
    </w:p>
  </w:footnote>
  <w:footnote w:type="continuationSeparator" w:id="0">
    <w:p w:rsidR="00862927" w:rsidRDefault="0086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31" w:rsidRDefault="00245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284"/>
      <w:gridCol w:w="3238"/>
    </w:tblGrid>
    <w:tr w:rsidR="00BA5082" w:rsidRPr="0066328A" w:rsidTr="00706136">
      <w:tc>
        <w:tcPr>
          <w:tcW w:w="5778" w:type="dxa"/>
          <w:vMerge w:val="restart"/>
          <w:shd w:val="clear" w:color="auto" w:fill="auto"/>
        </w:tcPr>
        <w:p w:rsidR="00BA5082" w:rsidRPr="0066328A" w:rsidRDefault="00DE3ADA" w:rsidP="00706136">
          <w:pPr>
            <w:tabs>
              <w:tab w:val="center" w:pos="4153"/>
              <w:tab w:val="right" w:pos="8306"/>
            </w:tabs>
            <w:rPr>
              <w:rFonts w:ascii="Frutiger 45 Light" w:hAnsi="Frutiger 45 Light"/>
              <w:sz w:val="28"/>
              <w:szCs w:val="28"/>
            </w:rPr>
          </w:pPr>
          <w:r>
            <w:rPr>
              <w:rFonts w:ascii="Arial" w:hAnsi="Arial" w:cs="Arial"/>
              <w:noProof/>
              <w:sz w:val="44"/>
              <w:szCs w:val="44"/>
            </w:rPr>
            <w:drawing>
              <wp:inline distT="0" distB="0" distL="0" distR="0" wp14:anchorId="036C6123" wp14:editId="6FD73C87">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tcPr>
        <w:p w:rsidR="00BA5082" w:rsidRPr="009979FD" w:rsidRDefault="00FB15F5" w:rsidP="00706136">
          <w:pPr>
            <w:tabs>
              <w:tab w:val="center" w:pos="4153"/>
              <w:tab w:val="right" w:pos="8306"/>
            </w:tabs>
            <w:rPr>
              <w:rFonts w:ascii="Arial" w:hAnsi="Arial" w:cs="Arial"/>
              <w:b/>
              <w:sz w:val="22"/>
              <w:szCs w:val="22"/>
            </w:rPr>
          </w:pPr>
          <w:r>
            <w:rPr>
              <w:rFonts w:ascii="Arial" w:hAnsi="Arial" w:cs="Arial"/>
              <w:b/>
              <w:sz w:val="22"/>
              <w:szCs w:val="22"/>
            </w:rPr>
            <w:t xml:space="preserve">LGA </w:t>
          </w:r>
          <w:bookmarkStart w:id="0" w:name="_GoBack"/>
          <w:bookmarkEnd w:id="0"/>
          <w:r w:rsidR="00AC0BE6">
            <w:rPr>
              <w:rFonts w:ascii="Arial" w:hAnsi="Arial" w:cs="Arial"/>
              <w:b/>
              <w:sz w:val="22"/>
              <w:szCs w:val="22"/>
            </w:rPr>
            <w:t>Leadership Board</w:t>
          </w:r>
        </w:p>
      </w:tc>
    </w:tr>
    <w:tr w:rsidR="00BA5082" w:rsidRPr="0066328A" w:rsidTr="00706136">
      <w:trPr>
        <w:trHeight w:val="450"/>
      </w:trPr>
      <w:tc>
        <w:tcPr>
          <w:tcW w:w="5778" w:type="dxa"/>
          <w:vMerge/>
          <w:shd w:val="clear" w:color="auto" w:fill="auto"/>
        </w:tcPr>
        <w:p w:rsidR="00BA5082" w:rsidRPr="0066328A" w:rsidRDefault="00BA5082" w:rsidP="00706136">
          <w:pPr>
            <w:tabs>
              <w:tab w:val="center" w:pos="4153"/>
              <w:tab w:val="right" w:pos="8306"/>
            </w:tabs>
            <w:rPr>
              <w:rFonts w:ascii="Frutiger 45 Light" w:hAnsi="Frutiger 45 Light"/>
              <w:sz w:val="22"/>
              <w:szCs w:val="20"/>
            </w:rPr>
          </w:pPr>
        </w:p>
      </w:tc>
      <w:tc>
        <w:tcPr>
          <w:tcW w:w="3509" w:type="dxa"/>
          <w:shd w:val="clear" w:color="auto" w:fill="auto"/>
        </w:tcPr>
        <w:p w:rsidR="00BA5082" w:rsidRPr="009979FD" w:rsidRDefault="00245A31" w:rsidP="00361355">
          <w:pPr>
            <w:tabs>
              <w:tab w:val="center" w:pos="4153"/>
              <w:tab w:val="right" w:pos="8306"/>
            </w:tabs>
            <w:spacing w:before="60"/>
            <w:rPr>
              <w:rFonts w:ascii="Frutiger 45 Light" w:hAnsi="Frutiger 45 Light"/>
              <w:sz w:val="22"/>
              <w:szCs w:val="22"/>
            </w:rPr>
          </w:pPr>
          <w:r>
            <w:rPr>
              <w:rFonts w:ascii="Arial" w:hAnsi="Arial" w:cs="Arial"/>
              <w:sz w:val="22"/>
              <w:szCs w:val="22"/>
            </w:rPr>
            <w:t>22 October 2014</w:t>
          </w:r>
        </w:p>
      </w:tc>
    </w:tr>
    <w:tr w:rsidR="00BA5082" w:rsidRPr="0066328A" w:rsidTr="00706136">
      <w:trPr>
        <w:trHeight w:val="450"/>
      </w:trPr>
      <w:tc>
        <w:tcPr>
          <w:tcW w:w="5778" w:type="dxa"/>
          <w:vMerge/>
          <w:shd w:val="clear" w:color="auto" w:fill="auto"/>
        </w:tcPr>
        <w:p w:rsidR="00BA5082" w:rsidRPr="0066328A" w:rsidRDefault="00BA5082" w:rsidP="00706136">
          <w:pPr>
            <w:tabs>
              <w:tab w:val="center" w:pos="4153"/>
              <w:tab w:val="right" w:pos="8306"/>
            </w:tabs>
            <w:rPr>
              <w:rFonts w:ascii="Frutiger 45 Light" w:hAnsi="Frutiger 45 Light"/>
              <w:sz w:val="22"/>
              <w:szCs w:val="20"/>
            </w:rPr>
          </w:pPr>
        </w:p>
      </w:tc>
      <w:tc>
        <w:tcPr>
          <w:tcW w:w="3509" w:type="dxa"/>
          <w:shd w:val="clear" w:color="auto" w:fill="auto"/>
          <w:vAlign w:val="bottom"/>
        </w:tcPr>
        <w:p w:rsidR="00BA5082" w:rsidRPr="0066328A" w:rsidRDefault="00BA5082" w:rsidP="00706136">
          <w:pPr>
            <w:tabs>
              <w:tab w:val="center" w:pos="4153"/>
              <w:tab w:val="right" w:pos="8306"/>
            </w:tabs>
            <w:spacing w:before="60"/>
            <w:rPr>
              <w:rFonts w:ascii="Arial" w:hAnsi="Arial" w:cs="Arial"/>
              <w:b/>
            </w:rPr>
          </w:pPr>
        </w:p>
      </w:tc>
    </w:tr>
  </w:tbl>
  <w:p w:rsidR="00056036" w:rsidRDefault="00056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31" w:rsidRDefault="00245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A1C"/>
    <w:multiLevelType w:val="multilevel"/>
    <w:tmpl w:val="D1241032"/>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F97E4B"/>
    <w:multiLevelType w:val="multilevel"/>
    <w:tmpl w:val="BDD04D38"/>
    <w:lvl w:ilvl="0">
      <w:start w:val="9"/>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2">
    <w:nsid w:val="093D2806"/>
    <w:multiLevelType w:val="hybridMultilevel"/>
    <w:tmpl w:val="C5D87A6E"/>
    <w:lvl w:ilvl="0" w:tplc="3152A004">
      <w:start w:val="1"/>
      <w:numFmt w:val="bullet"/>
      <w:lvlText w:val=""/>
      <w:lvlJc w:val="left"/>
      <w:pPr>
        <w:ind w:left="1080" w:hanging="360"/>
      </w:pPr>
      <w:rPr>
        <w:rFonts w:ascii="Symbol" w:hAnsi="Symbol" w:hint="default"/>
        <w:color w:val="4F81BD"/>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C18A2"/>
    <w:multiLevelType w:val="multilevel"/>
    <w:tmpl w:val="49BAE71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FF27A70"/>
    <w:multiLevelType w:val="hybridMultilevel"/>
    <w:tmpl w:val="C2DCF38E"/>
    <w:lvl w:ilvl="0" w:tplc="214E3538">
      <w:start w:val="1"/>
      <w:numFmt w:val="decimal"/>
      <w:lvlText w:val="11.%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C5C70"/>
    <w:multiLevelType w:val="multilevel"/>
    <w:tmpl w:val="AF8E727C"/>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6">
    <w:nsid w:val="13D214D7"/>
    <w:multiLevelType w:val="multilevel"/>
    <w:tmpl w:val="E828EB52"/>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C00452A"/>
    <w:multiLevelType w:val="multilevel"/>
    <w:tmpl w:val="53983E86"/>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8">
    <w:nsid w:val="354C6A05"/>
    <w:multiLevelType w:val="multilevel"/>
    <w:tmpl w:val="998E6968"/>
    <w:lvl w:ilvl="0">
      <w:start w:val="1"/>
      <w:numFmt w:val="decimal"/>
      <w:lvlText w:val="%1."/>
      <w:lvlJc w:val="left"/>
      <w:pPr>
        <w:tabs>
          <w:tab w:val="num" w:pos="680"/>
        </w:tabs>
        <w:ind w:left="680" w:hanging="680"/>
      </w:pPr>
      <w:rPr>
        <w:rFonts w:hint="default"/>
        <w:b w:val="0"/>
        <w:sz w:val="22"/>
        <w:szCs w:val="22"/>
      </w:rPr>
    </w:lvl>
    <w:lvl w:ilvl="1">
      <w:start w:val="1"/>
      <w:numFmt w:val="decimal"/>
      <w:lvlText w:val="%1.%2."/>
      <w:lvlJc w:val="left"/>
      <w:pPr>
        <w:tabs>
          <w:tab w:val="num" w:pos="1361"/>
        </w:tabs>
        <w:ind w:left="1361" w:hanging="68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578781F"/>
    <w:multiLevelType w:val="hybridMultilevel"/>
    <w:tmpl w:val="3AF091DC"/>
    <w:lvl w:ilvl="0" w:tplc="84FC37C6">
      <w:start w:val="1"/>
      <w:numFmt w:val="decimal"/>
      <w:lvlText w:val="13.%1."/>
      <w:lvlJc w:val="left"/>
      <w:pPr>
        <w:tabs>
          <w:tab w:val="num" w:pos="1137"/>
        </w:tabs>
        <w:ind w:left="113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D6E7593"/>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1">
    <w:nsid w:val="4111740B"/>
    <w:multiLevelType w:val="multilevel"/>
    <w:tmpl w:val="E3F00346"/>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1035"/>
        </w:tabs>
        <w:ind w:left="1035" w:hanging="46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2">
    <w:nsid w:val="479B36F7"/>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13">
    <w:nsid w:val="4A6C5555"/>
    <w:multiLevelType w:val="hybridMultilevel"/>
    <w:tmpl w:val="E828EB52"/>
    <w:lvl w:ilvl="0" w:tplc="08090001">
      <w:start w:val="1"/>
      <w:numFmt w:val="bullet"/>
      <w:lvlText w:val=""/>
      <w:lvlJc w:val="left"/>
      <w:pPr>
        <w:tabs>
          <w:tab w:val="num" w:pos="927"/>
        </w:tabs>
        <w:ind w:left="927"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53937F6C"/>
    <w:multiLevelType w:val="hybridMultilevel"/>
    <w:tmpl w:val="3C366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BB085C"/>
    <w:multiLevelType w:val="hybridMultilevel"/>
    <w:tmpl w:val="C85E73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C110B72"/>
    <w:multiLevelType w:val="multilevel"/>
    <w:tmpl w:val="9A960CAA"/>
    <w:lvl w:ilvl="0">
      <w:start w:val="7"/>
      <w:numFmt w:val="decimal"/>
      <w:lvlText w:val="%1"/>
      <w:lvlJc w:val="left"/>
      <w:pPr>
        <w:tabs>
          <w:tab w:val="num" w:pos="360"/>
        </w:tabs>
        <w:ind w:left="360" w:hanging="360"/>
      </w:p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17">
    <w:nsid w:val="6D244314"/>
    <w:multiLevelType w:val="multilevel"/>
    <w:tmpl w:val="AF42EA3C"/>
    <w:lvl w:ilvl="0">
      <w:start w:val="1"/>
      <w:numFmt w:val="bullet"/>
      <w:lvlText w:val=""/>
      <w:lvlJc w:val="left"/>
      <w:pPr>
        <w:tabs>
          <w:tab w:val="num" w:pos="930"/>
        </w:tabs>
        <w:ind w:left="93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D97085A"/>
    <w:multiLevelType w:val="hybridMultilevel"/>
    <w:tmpl w:val="05CCE4FA"/>
    <w:lvl w:ilvl="0" w:tplc="A122345A">
      <w:start w:val="1"/>
      <w:numFmt w:val="decimal"/>
      <w:lvlText w:val="9.%1."/>
      <w:lvlJc w:val="left"/>
      <w:pPr>
        <w:tabs>
          <w:tab w:val="num" w:pos="1137"/>
        </w:tabs>
        <w:ind w:left="113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E032FDA"/>
    <w:multiLevelType w:val="multilevel"/>
    <w:tmpl w:val="F658167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20">
    <w:nsid w:val="70D43607"/>
    <w:multiLevelType w:val="multilevel"/>
    <w:tmpl w:val="6880738A"/>
    <w:lvl w:ilvl="0">
      <w:start w:val="7"/>
      <w:numFmt w:val="decimal"/>
      <w:lvlText w:val="%1"/>
      <w:lvlJc w:val="left"/>
      <w:pPr>
        <w:tabs>
          <w:tab w:val="num" w:pos="360"/>
        </w:tabs>
        <w:ind w:left="360" w:hanging="360"/>
      </w:pPr>
    </w:lvl>
    <w:lvl w:ilvl="1">
      <w:start w:val="1"/>
      <w:numFmt w:val="decimal"/>
      <w:lvlText w:val="10.%2."/>
      <w:lvlJc w:val="left"/>
      <w:pPr>
        <w:tabs>
          <w:tab w:val="num" w:pos="1137"/>
        </w:tabs>
        <w:ind w:left="1137" w:hanging="567"/>
      </w:pPr>
      <w:rPr>
        <w:rFonts w:hint="default"/>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360"/>
        </w:tabs>
        <w:ind w:left="6360" w:hanging="1800"/>
      </w:pPr>
    </w:lvl>
  </w:abstractNum>
  <w:abstractNum w:abstractNumId="21">
    <w:nsid w:val="762A6D99"/>
    <w:multiLevelType w:val="hybridMultilevel"/>
    <w:tmpl w:val="20BC28F0"/>
    <w:lvl w:ilvl="0" w:tplc="3048A2EC">
      <w:start w:val="1"/>
      <w:numFmt w:val="decimal"/>
      <w:lvlText w:val="2.%1."/>
      <w:lvlJc w:val="left"/>
      <w:pPr>
        <w:tabs>
          <w:tab w:val="num" w:pos="1137"/>
        </w:tabs>
        <w:ind w:left="1137" w:hanging="567"/>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nsid w:val="7CEC4660"/>
    <w:multiLevelType w:val="multilevel"/>
    <w:tmpl w:val="BA0E653E"/>
    <w:lvl w:ilvl="0">
      <w:start w:val="9"/>
      <w:numFmt w:val="decimal"/>
      <w:lvlText w:val="%1"/>
      <w:lvlJc w:val="left"/>
      <w:pPr>
        <w:tabs>
          <w:tab w:val="num" w:pos="360"/>
        </w:tabs>
        <w:ind w:left="360" w:hanging="360"/>
      </w:pPr>
    </w:lvl>
    <w:lvl w:ilvl="1">
      <w:start w:val="1"/>
      <w:numFmt w:val="decimal"/>
      <w:lvlText w:val="12.%2."/>
      <w:lvlJc w:val="left"/>
      <w:pPr>
        <w:tabs>
          <w:tab w:val="num" w:pos="1134"/>
        </w:tabs>
        <w:ind w:left="1134" w:hanging="567"/>
      </w:pPr>
      <w:rPr>
        <w:rFonts w:hint="default"/>
      </w:r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num w:numId="1">
    <w:abstractNumId w:val="21"/>
  </w:num>
  <w:num w:numId="2">
    <w:abstractNumId w:val="10"/>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21"/>
  </w:num>
  <w:num w:numId="8">
    <w:abstractNumId w:val="1"/>
  </w:num>
  <w:num w:numId="9">
    <w:abstractNumId w:val="17"/>
  </w:num>
  <w:num w:numId="10">
    <w:abstractNumId w:val="20"/>
  </w:num>
  <w:num w:numId="11">
    <w:abstractNumId w:val="18"/>
  </w:num>
  <w:num w:numId="12">
    <w:abstractNumId w:val="22"/>
  </w:num>
  <w:num w:numId="13">
    <w:abstractNumId w:val="4"/>
  </w:num>
  <w:num w:numId="14">
    <w:abstractNumId w:val="6"/>
  </w:num>
  <w:num w:numId="15">
    <w:abstractNumId w:val="9"/>
  </w:num>
  <w:num w:numId="16">
    <w:abstractNumId w:val="7"/>
  </w:num>
  <w:num w:numId="17">
    <w:abstractNumId w:val="5"/>
  </w:num>
  <w:num w:numId="18">
    <w:abstractNumId w:val="11"/>
  </w:num>
  <w:num w:numId="19">
    <w:abstractNumId w:val="3"/>
  </w:num>
  <w:num w:numId="20">
    <w:abstractNumId w:val="19"/>
  </w:num>
  <w:num w:numId="21">
    <w:abstractNumId w:val="0"/>
  </w:num>
  <w:num w:numId="22">
    <w:abstractNumId w:val="8"/>
  </w:num>
  <w:num w:numId="23">
    <w:abstractNumId w:val="15"/>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EB"/>
    <w:rsid w:val="00012621"/>
    <w:rsid w:val="00020D21"/>
    <w:rsid w:val="00031D01"/>
    <w:rsid w:val="00033906"/>
    <w:rsid w:val="00050898"/>
    <w:rsid w:val="00054DC8"/>
    <w:rsid w:val="00055BD7"/>
    <w:rsid w:val="00056036"/>
    <w:rsid w:val="000677E4"/>
    <w:rsid w:val="00073B23"/>
    <w:rsid w:val="00075486"/>
    <w:rsid w:val="000762EF"/>
    <w:rsid w:val="00081B77"/>
    <w:rsid w:val="00082022"/>
    <w:rsid w:val="000852AC"/>
    <w:rsid w:val="00085325"/>
    <w:rsid w:val="0009098F"/>
    <w:rsid w:val="00094BA7"/>
    <w:rsid w:val="0009596D"/>
    <w:rsid w:val="0009693A"/>
    <w:rsid w:val="00097EE0"/>
    <w:rsid w:val="000A085A"/>
    <w:rsid w:val="000A1A32"/>
    <w:rsid w:val="000A677C"/>
    <w:rsid w:val="000B5ADF"/>
    <w:rsid w:val="000B70CC"/>
    <w:rsid w:val="000C1D0A"/>
    <w:rsid w:val="000C2A35"/>
    <w:rsid w:val="000C2EA7"/>
    <w:rsid w:val="000D185A"/>
    <w:rsid w:val="000E26FA"/>
    <w:rsid w:val="000F5B31"/>
    <w:rsid w:val="000F77D2"/>
    <w:rsid w:val="001013B9"/>
    <w:rsid w:val="0011628E"/>
    <w:rsid w:val="00123DBF"/>
    <w:rsid w:val="00133BBF"/>
    <w:rsid w:val="001346B8"/>
    <w:rsid w:val="001353FD"/>
    <w:rsid w:val="00147C9F"/>
    <w:rsid w:val="00150A79"/>
    <w:rsid w:val="00172E18"/>
    <w:rsid w:val="00177ABF"/>
    <w:rsid w:val="001816BE"/>
    <w:rsid w:val="00194CA5"/>
    <w:rsid w:val="00196DB1"/>
    <w:rsid w:val="001A760E"/>
    <w:rsid w:val="001A7618"/>
    <w:rsid w:val="001B3B36"/>
    <w:rsid w:val="001D074D"/>
    <w:rsid w:val="001D39FB"/>
    <w:rsid w:val="001E0AF7"/>
    <w:rsid w:val="001E1E76"/>
    <w:rsid w:val="001F79CA"/>
    <w:rsid w:val="001F7D95"/>
    <w:rsid w:val="0020207C"/>
    <w:rsid w:val="002052AE"/>
    <w:rsid w:val="00213064"/>
    <w:rsid w:val="002159B6"/>
    <w:rsid w:val="00220CDD"/>
    <w:rsid w:val="00222A24"/>
    <w:rsid w:val="00230CD0"/>
    <w:rsid w:val="00243548"/>
    <w:rsid w:val="00245A31"/>
    <w:rsid w:val="002528F7"/>
    <w:rsid w:val="0025565B"/>
    <w:rsid w:val="00255DA1"/>
    <w:rsid w:val="002565FA"/>
    <w:rsid w:val="0026193B"/>
    <w:rsid w:val="00272D65"/>
    <w:rsid w:val="002764E4"/>
    <w:rsid w:val="00283E28"/>
    <w:rsid w:val="002851D1"/>
    <w:rsid w:val="0029035F"/>
    <w:rsid w:val="00294E3A"/>
    <w:rsid w:val="00297C14"/>
    <w:rsid w:val="002A0D65"/>
    <w:rsid w:val="002A12F5"/>
    <w:rsid w:val="002C31FB"/>
    <w:rsid w:val="002C3B62"/>
    <w:rsid w:val="002E014B"/>
    <w:rsid w:val="002E1B9D"/>
    <w:rsid w:val="002E3A0E"/>
    <w:rsid w:val="002F5493"/>
    <w:rsid w:val="002F7FBD"/>
    <w:rsid w:val="00300CCF"/>
    <w:rsid w:val="003026E1"/>
    <w:rsid w:val="0030659C"/>
    <w:rsid w:val="00315770"/>
    <w:rsid w:val="00320677"/>
    <w:rsid w:val="003276B9"/>
    <w:rsid w:val="0033056D"/>
    <w:rsid w:val="00330C37"/>
    <w:rsid w:val="0033241D"/>
    <w:rsid w:val="003338B0"/>
    <w:rsid w:val="003510D2"/>
    <w:rsid w:val="00361355"/>
    <w:rsid w:val="00382381"/>
    <w:rsid w:val="00392ECF"/>
    <w:rsid w:val="003A00FE"/>
    <w:rsid w:val="003A069D"/>
    <w:rsid w:val="003A3B7D"/>
    <w:rsid w:val="003B74F8"/>
    <w:rsid w:val="003C0DD7"/>
    <w:rsid w:val="003C59F0"/>
    <w:rsid w:val="003D24E8"/>
    <w:rsid w:val="003D5A1D"/>
    <w:rsid w:val="003E0575"/>
    <w:rsid w:val="003E12FA"/>
    <w:rsid w:val="003E1BC7"/>
    <w:rsid w:val="003E57B4"/>
    <w:rsid w:val="003E67CF"/>
    <w:rsid w:val="003F18AA"/>
    <w:rsid w:val="003F64A3"/>
    <w:rsid w:val="003F7094"/>
    <w:rsid w:val="0040031F"/>
    <w:rsid w:val="004016D4"/>
    <w:rsid w:val="00405262"/>
    <w:rsid w:val="004118CC"/>
    <w:rsid w:val="00412E75"/>
    <w:rsid w:val="00433DBE"/>
    <w:rsid w:val="00437142"/>
    <w:rsid w:val="004570FD"/>
    <w:rsid w:val="004627EA"/>
    <w:rsid w:val="004757AD"/>
    <w:rsid w:val="00486A29"/>
    <w:rsid w:val="00495FDA"/>
    <w:rsid w:val="00497722"/>
    <w:rsid w:val="004A2463"/>
    <w:rsid w:val="004B245F"/>
    <w:rsid w:val="004B3F25"/>
    <w:rsid w:val="004B48C3"/>
    <w:rsid w:val="004C1BAD"/>
    <w:rsid w:val="004C42AF"/>
    <w:rsid w:val="004C4C6F"/>
    <w:rsid w:val="004C53F6"/>
    <w:rsid w:val="004D24DE"/>
    <w:rsid w:val="004D644A"/>
    <w:rsid w:val="004E3487"/>
    <w:rsid w:val="00501DF8"/>
    <w:rsid w:val="0050306D"/>
    <w:rsid w:val="0050334C"/>
    <w:rsid w:val="00517A06"/>
    <w:rsid w:val="00520B2A"/>
    <w:rsid w:val="005365C3"/>
    <w:rsid w:val="0054355C"/>
    <w:rsid w:val="00552BFD"/>
    <w:rsid w:val="00554292"/>
    <w:rsid w:val="00575348"/>
    <w:rsid w:val="0058427C"/>
    <w:rsid w:val="00586AA8"/>
    <w:rsid w:val="00586E8C"/>
    <w:rsid w:val="0059415E"/>
    <w:rsid w:val="00596F92"/>
    <w:rsid w:val="005A321B"/>
    <w:rsid w:val="005A5CE8"/>
    <w:rsid w:val="005D6346"/>
    <w:rsid w:val="005F1795"/>
    <w:rsid w:val="00611A2B"/>
    <w:rsid w:val="006173D6"/>
    <w:rsid w:val="0061798E"/>
    <w:rsid w:val="00617BFC"/>
    <w:rsid w:val="00623B1C"/>
    <w:rsid w:val="0062740F"/>
    <w:rsid w:val="00636865"/>
    <w:rsid w:val="00642195"/>
    <w:rsid w:val="00657BD4"/>
    <w:rsid w:val="0066328A"/>
    <w:rsid w:val="00676E91"/>
    <w:rsid w:val="00677FBC"/>
    <w:rsid w:val="0068013E"/>
    <w:rsid w:val="006912F7"/>
    <w:rsid w:val="00696623"/>
    <w:rsid w:val="006A5CF4"/>
    <w:rsid w:val="006B3745"/>
    <w:rsid w:val="006B5E67"/>
    <w:rsid w:val="006C16FD"/>
    <w:rsid w:val="006C5DF2"/>
    <w:rsid w:val="006E00CA"/>
    <w:rsid w:val="006E405E"/>
    <w:rsid w:val="006F07F5"/>
    <w:rsid w:val="006F6960"/>
    <w:rsid w:val="007024FF"/>
    <w:rsid w:val="0070597B"/>
    <w:rsid w:val="00706136"/>
    <w:rsid w:val="007072FF"/>
    <w:rsid w:val="0071623C"/>
    <w:rsid w:val="00723676"/>
    <w:rsid w:val="00725170"/>
    <w:rsid w:val="00727445"/>
    <w:rsid w:val="00727BAD"/>
    <w:rsid w:val="007302E3"/>
    <w:rsid w:val="007376D1"/>
    <w:rsid w:val="00747BBB"/>
    <w:rsid w:val="007512CD"/>
    <w:rsid w:val="0076476A"/>
    <w:rsid w:val="00793664"/>
    <w:rsid w:val="007A3A13"/>
    <w:rsid w:val="007B58F3"/>
    <w:rsid w:val="007B7AF6"/>
    <w:rsid w:val="007C1588"/>
    <w:rsid w:val="007C1D46"/>
    <w:rsid w:val="007D6DFF"/>
    <w:rsid w:val="007D7126"/>
    <w:rsid w:val="007E01EA"/>
    <w:rsid w:val="007E1569"/>
    <w:rsid w:val="007E3C6C"/>
    <w:rsid w:val="007E440A"/>
    <w:rsid w:val="007E5800"/>
    <w:rsid w:val="007F2856"/>
    <w:rsid w:val="0081033D"/>
    <w:rsid w:val="008132C6"/>
    <w:rsid w:val="00815090"/>
    <w:rsid w:val="0081533C"/>
    <w:rsid w:val="00817344"/>
    <w:rsid w:val="008175A2"/>
    <w:rsid w:val="00817B39"/>
    <w:rsid w:val="00823D83"/>
    <w:rsid w:val="00825089"/>
    <w:rsid w:val="00831618"/>
    <w:rsid w:val="00834ECB"/>
    <w:rsid w:val="0083544C"/>
    <w:rsid w:val="00840685"/>
    <w:rsid w:val="00861CE8"/>
    <w:rsid w:val="00862660"/>
    <w:rsid w:val="00862927"/>
    <w:rsid w:val="008700A5"/>
    <w:rsid w:val="0087232F"/>
    <w:rsid w:val="00882238"/>
    <w:rsid w:val="008852FC"/>
    <w:rsid w:val="00886247"/>
    <w:rsid w:val="0089227B"/>
    <w:rsid w:val="00892685"/>
    <w:rsid w:val="008A0BE2"/>
    <w:rsid w:val="008A5E12"/>
    <w:rsid w:val="008B1907"/>
    <w:rsid w:val="008B7DCD"/>
    <w:rsid w:val="008C7C10"/>
    <w:rsid w:val="008E265D"/>
    <w:rsid w:val="008F2D93"/>
    <w:rsid w:val="008F71A6"/>
    <w:rsid w:val="009051B5"/>
    <w:rsid w:val="009231F1"/>
    <w:rsid w:val="00932FFA"/>
    <w:rsid w:val="009520EF"/>
    <w:rsid w:val="00955A6B"/>
    <w:rsid w:val="00961AF0"/>
    <w:rsid w:val="00974137"/>
    <w:rsid w:val="009757B0"/>
    <w:rsid w:val="00983AA1"/>
    <w:rsid w:val="00984351"/>
    <w:rsid w:val="009917E9"/>
    <w:rsid w:val="009979FD"/>
    <w:rsid w:val="009A461B"/>
    <w:rsid w:val="009A7A7E"/>
    <w:rsid w:val="009B1A2B"/>
    <w:rsid w:val="009B34E1"/>
    <w:rsid w:val="009B4B8C"/>
    <w:rsid w:val="009B5813"/>
    <w:rsid w:val="009B701F"/>
    <w:rsid w:val="009C4FC2"/>
    <w:rsid w:val="009C7EE9"/>
    <w:rsid w:val="009E0297"/>
    <w:rsid w:val="009E55B9"/>
    <w:rsid w:val="009E6B78"/>
    <w:rsid w:val="009F1D72"/>
    <w:rsid w:val="009F2ACB"/>
    <w:rsid w:val="009F4E82"/>
    <w:rsid w:val="009F530F"/>
    <w:rsid w:val="009F7169"/>
    <w:rsid w:val="00A0395A"/>
    <w:rsid w:val="00A0625C"/>
    <w:rsid w:val="00A112A2"/>
    <w:rsid w:val="00A15AFB"/>
    <w:rsid w:val="00A40C7A"/>
    <w:rsid w:val="00A514B7"/>
    <w:rsid w:val="00A532E1"/>
    <w:rsid w:val="00A55B46"/>
    <w:rsid w:val="00A60B7F"/>
    <w:rsid w:val="00A6333C"/>
    <w:rsid w:val="00A738A1"/>
    <w:rsid w:val="00A73941"/>
    <w:rsid w:val="00A745E9"/>
    <w:rsid w:val="00A777EE"/>
    <w:rsid w:val="00A8085C"/>
    <w:rsid w:val="00A81BAC"/>
    <w:rsid w:val="00A8478B"/>
    <w:rsid w:val="00A959A2"/>
    <w:rsid w:val="00A960FC"/>
    <w:rsid w:val="00A967AC"/>
    <w:rsid w:val="00AA0889"/>
    <w:rsid w:val="00AA4D52"/>
    <w:rsid w:val="00AA7A6F"/>
    <w:rsid w:val="00AB5D4F"/>
    <w:rsid w:val="00AC0BE6"/>
    <w:rsid w:val="00AC2A97"/>
    <w:rsid w:val="00AC48F5"/>
    <w:rsid w:val="00AC6F5A"/>
    <w:rsid w:val="00AD425F"/>
    <w:rsid w:val="00AD5B80"/>
    <w:rsid w:val="00AD7282"/>
    <w:rsid w:val="00AE6B1A"/>
    <w:rsid w:val="00AF022B"/>
    <w:rsid w:val="00B07C3B"/>
    <w:rsid w:val="00B15B09"/>
    <w:rsid w:val="00B15EA5"/>
    <w:rsid w:val="00B2329E"/>
    <w:rsid w:val="00B25B57"/>
    <w:rsid w:val="00B34C96"/>
    <w:rsid w:val="00B43058"/>
    <w:rsid w:val="00B4707A"/>
    <w:rsid w:val="00B506BB"/>
    <w:rsid w:val="00B54553"/>
    <w:rsid w:val="00B6670F"/>
    <w:rsid w:val="00B66E02"/>
    <w:rsid w:val="00B756D3"/>
    <w:rsid w:val="00B80358"/>
    <w:rsid w:val="00B87E75"/>
    <w:rsid w:val="00B916D3"/>
    <w:rsid w:val="00B96254"/>
    <w:rsid w:val="00BA5082"/>
    <w:rsid w:val="00BB193A"/>
    <w:rsid w:val="00BB2A62"/>
    <w:rsid w:val="00BB5693"/>
    <w:rsid w:val="00BD0568"/>
    <w:rsid w:val="00BD31CD"/>
    <w:rsid w:val="00BD37B6"/>
    <w:rsid w:val="00BD7206"/>
    <w:rsid w:val="00BF2CA6"/>
    <w:rsid w:val="00C0178B"/>
    <w:rsid w:val="00C075D2"/>
    <w:rsid w:val="00C10D8C"/>
    <w:rsid w:val="00C15E1A"/>
    <w:rsid w:val="00C15F7E"/>
    <w:rsid w:val="00C226B0"/>
    <w:rsid w:val="00C32541"/>
    <w:rsid w:val="00C33637"/>
    <w:rsid w:val="00C3585C"/>
    <w:rsid w:val="00C458A4"/>
    <w:rsid w:val="00C46ED3"/>
    <w:rsid w:val="00C53663"/>
    <w:rsid w:val="00C65737"/>
    <w:rsid w:val="00C657BB"/>
    <w:rsid w:val="00C7155A"/>
    <w:rsid w:val="00C74821"/>
    <w:rsid w:val="00C757A7"/>
    <w:rsid w:val="00C86556"/>
    <w:rsid w:val="00C945C0"/>
    <w:rsid w:val="00C960A6"/>
    <w:rsid w:val="00C97DEB"/>
    <w:rsid w:val="00CA4A79"/>
    <w:rsid w:val="00CB2DEB"/>
    <w:rsid w:val="00CB2E0D"/>
    <w:rsid w:val="00CB4181"/>
    <w:rsid w:val="00CB5B39"/>
    <w:rsid w:val="00CC2DBA"/>
    <w:rsid w:val="00CC319B"/>
    <w:rsid w:val="00CD1CDC"/>
    <w:rsid w:val="00CD57BF"/>
    <w:rsid w:val="00CD724A"/>
    <w:rsid w:val="00CD7B88"/>
    <w:rsid w:val="00CE3E2D"/>
    <w:rsid w:val="00CE647A"/>
    <w:rsid w:val="00CF7097"/>
    <w:rsid w:val="00D06F69"/>
    <w:rsid w:val="00D113E5"/>
    <w:rsid w:val="00D118AC"/>
    <w:rsid w:val="00D14FC8"/>
    <w:rsid w:val="00D26B7A"/>
    <w:rsid w:val="00D408EE"/>
    <w:rsid w:val="00D426B6"/>
    <w:rsid w:val="00D44864"/>
    <w:rsid w:val="00D7011D"/>
    <w:rsid w:val="00D708CC"/>
    <w:rsid w:val="00D765E5"/>
    <w:rsid w:val="00D77746"/>
    <w:rsid w:val="00DA08A9"/>
    <w:rsid w:val="00DA4A26"/>
    <w:rsid w:val="00DB12EF"/>
    <w:rsid w:val="00DB2705"/>
    <w:rsid w:val="00DB623C"/>
    <w:rsid w:val="00DC1492"/>
    <w:rsid w:val="00DC47A1"/>
    <w:rsid w:val="00DC4E02"/>
    <w:rsid w:val="00DC7F24"/>
    <w:rsid w:val="00DE3ADA"/>
    <w:rsid w:val="00DE3E58"/>
    <w:rsid w:val="00DF0478"/>
    <w:rsid w:val="00E020B7"/>
    <w:rsid w:val="00E10EF5"/>
    <w:rsid w:val="00E11320"/>
    <w:rsid w:val="00E11EF6"/>
    <w:rsid w:val="00E20378"/>
    <w:rsid w:val="00E20B07"/>
    <w:rsid w:val="00E31145"/>
    <w:rsid w:val="00E35EA5"/>
    <w:rsid w:val="00E50848"/>
    <w:rsid w:val="00E62370"/>
    <w:rsid w:val="00E672FF"/>
    <w:rsid w:val="00E723ED"/>
    <w:rsid w:val="00E74B51"/>
    <w:rsid w:val="00E818E7"/>
    <w:rsid w:val="00EA0FD6"/>
    <w:rsid w:val="00EA3F62"/>
    <w:rsid w:val="00EB67DC"/>
    <w:rsid w:val="00EB7C9D"/>
    <w:rsid w:val="00EC0857"/>
    <w:rsid w:val="00EC1223"/>
    <w:rsid w:val="00ED1971"/>
    <w:rsid w:val="00ED1B17"/>
    <w:rsid w:val="00ED7C77"/>
    <w:rsid w:val="00EE7969"/>
    <w:rsid w:val="00EF7378"/>
    <w:rsid w:val="00F01F07"/>
    <w:rsid w:val="00F30134"/>
    <w:rsid w:val="00F3113C"/>
    <w:rsid w:val="00F41DF7"/>
    <w:rsid w:val="00F42AF4"/>
    <w:rsid w:val="00F44D9E"/>
    <w:rsid w:val="00F476C6"/>
    <w:rsid w:val="00F541DD"/>
    <w:rsid w:val="00F544E7"/>
    <w:rsid w:val="00F80D5D"/>
    <w:rsid w:val="00F81780"/>
    <w:rsid w:val="00F82AF0"/>
    <w:rsid w:val="00F84ADD"/>
    <w:rsid w:val="00F85271"/>
    <w:rsid w:val="00F86ED6"/>
    <w:rsid w:val="00FA1CC3"/>
    <w:rsid w:val="00FA7971"/>
    <w:rsid w:val="00FB15F5"/>
    <w:rsid w:val="00FB599C"/>
    <w:rsid w:val="00FD3D02"/>
    <w:rsid w:val="00FD4975"/>
    <w:rsid w:val="00FE3E5F"/>
    <w:rsid w:val="00FE40AB"/>
    <w:rsid w:val="00FE41C8"/>
    <w:rsid w:val="00FF4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CB2DEB"/>
    <w:pPr>
      <w:spacing w:before="600" w:after="240" w:line="280" w:lineRule="exact"/>
    </w:pPr>
    <w:rPr>
      <w:rFonts w:ascii="Frutiger 55 Roman" w:hAnsi="Frutiger 55 Roman"/>
      <w:b/>
      <w:sz w:val="32"/>
      <w:szCs w:val="20"/>
    </w:rPr>
  </w:style>
  <w:style w:type="paragraph" w:customStyle="1" w:styleId="MainText">
    <w:name w:val="Main Text"/>
    <w:basedOn w:val="Normal"/>
    <w:rsid w:val="00CB2DEB"/>
    <w:pPr>
      <w:spacing w:line="280" w:lineRule="exact"/>
    </w:pPr>
    <w:rPr>
      <w:rFonts w:ascii="Frutiger 45 Light" w:hAnsi="Frutiger 45 Light"/>
      <w:sz w:val="22"/>
      <w:szCs w:val="20"/>
    </w:rPr>
  </w:style>
  <w:style w:type="table" w:styleId="TableGrid">
    <w:name w:val="Table Grid"/>
    <w:basedOn w:val="TableNormal"/>
    <w:rsid w:val="00CB2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18AC"/>
    <w:pPr>
      <w:tabs>
        <w:tab w:val="center" w:pos="4153"/>
        <w:tab w:val="right" w:pos="8306"/>
      </w:tabs>
    </w:pPr>
  </w:style>
  <w:style w:type="paragraph" w:styleId="Footer">
    <w:name w:val="footer"/>
    <w:basedOn w:val="Normal"/>
    <w:rsid w:val="00D118AC"/>
    <w:pPr>
      <w:tabs>
        <w:tab w:val="center" w:pos="4153"/>
        <w:tab w:val="right" w:pos="8306"/>
      </w:tabs>
    </w:pPr>
  </w:style>
  <w:style w:type="paragraph" w:styleId="BalloonText">
    <w:name w:val="Balloon Text"/>
    <w:basedOn w:val="Normal"/>
    <w:semiHidden/>
    <w:rsid w:val="00F3113C"/>
    <w:rPr>
      <w:rFonts w:ascii="Tahoma" w:hAnsi="Tahoma" w:cs="Tahoma"/>
      <w:sz w:val="16"/>
      <w:szCs w:val="16"/>
    </w:rPr>
  </w:style>
  <w:style w:type="paragraph" w:styleId="ListParagraph">
    <w:name w:val="List Paragraph"/>
    <w:aliases w:val="F5 List Paragraph"/>
    <w:basedOn w:val="Normal"/>
    <w:uiPriority w:val="34"/>
    <w:qFormat/>
    <w:rsid w:val="00B756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2568">
      <w:bodyDiv w:val="1"/>
      <w:marLeft w:val="0"/>
      <w:marRight w:val="0"/>
      <w:marTop w:val="0"/>
      <w:marBottom w:val="0"/>
      <w:divBdr>
        <w:top w:val="none" w:sz="0" w:space="0" w:color="auto"/>
        <w:left w:val="none" w:sz="0" w:space="0" w:color="auto"/>
        <w:bottom w:val="none" w:sz="0" w:space="0" w:color="auto"/>
        <w:right w:val="none" w:sz="0" w:space="0" w:color="auto"/>
      </w:divBdr>
    </w:div>
    <w:div w:id="1040057778">
      <w:bodyDiv w:val="1"/>
      <w:marLeft w:val="0"/>
      <w:marRight w:val="0"/>
      <w:marTop w:val="0"/>
      <w:marBottom w:val="0"/>
      <w:divBdr>
        <w:top w:val="none" w:sz="0" w:space="0" w:color="auto"/>
        <w:left w:val="none" w:sz="0" w:space="0" w:color="auto"/>
        <w:bottom w:val="none" w:sz="0" w:space="0" w:color="auto"/>
        <w:right w:val="none" w:sz="0" w:space="0" w:color="auto"/>
      </w:divBdr>
    </w:div>
    <w:div w:id="1062748692">
      <w:bodyDiv w:val="1"/>
      <w:marLeft w:val="0"/>
      <w:marRight w:val="0"/>
      <w:marTop w:val="0"/>
      <w:marBottom w:val="0"/>
      <w:divBdr>
        <w:top w:val="none" w:sz="0" w:space="0" w:color="auto"/>
        <w:left w:val="none" w:sz="0" w:space="0" w:color="auto"/>
        <w:bottom w:val="none" w:sz="0" w:space="0" w:color="auto"/>
        <w:right w:val="none" w:sz="0" w:space="0" w:color="auto"/>
      </w:divBdr>
    </w:div>
    <w:div w:id="1156074482">
      <w:bodyDiv w:val="1"/>
      <w:marLeft w:val="0"/>
      <w:marRight w:val="0"/>
      <w:marTop w:val="0"/>
      <w:marBottom w:val="0"/>
      <w:divBdr>
        <w:top w:val="none" w:sz="0" w:space="0" w:color="auto"/>
        <w:left w:val="none" w:sz="0" w:space="0" w:color="auto"/>
        <w:bottom w:val="none" w:sz="0" w:space="0" w:color="auto"/>
        <w:right w:val="none" w:sz="0" w:space="0" w:color="auto"/>
      </w:divBdr>
    </w:div>
    <w:div w:id="1613322932">
      <w:bodyDiv w:val="1"/>
      <w:marLeft w:val="0"/>
      <w:marRight w:val="0"/>
      <w:marTop w:val="0"/>
      <w:marBottom w:val="0"/>
      <w:divBdr>
        <w:top w:val="none" w:sz="0" w:space="0" w:color="auto"/>
        <w:left w:val="none" w:sz="0" w:space="0" w:color="auto"/>
        <w:bottom w:val="none" w:sz="0" w:space="0" w:color="auto"/>
        <w:right w:val="none" w:sz="0" w:space="0" w:color="auto"/>
      </w:divBdr>
    </w:div>
    <w:div w:id="1896891079">
      <w:bodyDiv w:val="1"/>
      <w:marLeft w:val="0"/>
      <w:marRight w:val="0"/>
      <w:marTop w:val="0"/>
      <w:marBottom w:val="0"/>
      <w:divBdr>
        <w:top w:val="none" w:sz="0" w:space="0" w:color="auto"/>
        <w:left w:val="none" w:sz="0" w:space="0" w:color="auto"/>
        <w:bottom w:val="none" w:sz="0" w:space="0" w:color="auto"/>
        <w:right w:val="none" w:sz="0" w:space="0" w:color="auto"/>
      </w:divBdr>
    </w:div>
    <w:div w:id="1986742596">
      <w:bodyDiv w:val="1"/>
      <w:marLeft w:val="0"/>
      <w:marRight w:val="0"/>
      <w:marTop w:val="0"/>
      <w:marBottom w:val="0"/>
      <w:divBdr>
        <w:top w:val="none" w:sz="0" w:space="0" w:color="auto"/>
        <w:left w:val="none" w:sz="0" w:space="0" w:color="auto"/>
        <w:bottom w:val="none" w:sz="0" w:space="0" w:color="auto"/>
        <w:right w:val="none" w:sz="0" w:space="0" w:color="auto"/>
      </w:divBdr>
    </w:div>
    <w:div w:id="205835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CB10-8B23-490D-813F-B4D32EE0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2012/13 Performance Report</vt:lpstr>
    </vt:vector>
  </TitlesOfParts>
  <Company>Local Government Group</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Performance Report</dc:title>
  <dc:creator>helenp</dc:creator>
  <cp:lastModifiedBy>Cathy Boyle</cp:lastModifiedBy>
  <cp:revision>16</cp:revision>
  <cp:lastPrinted>2013-10-10T10:55:00Z</cp:lastPrinted>
  <dcterms:created xsi:type="dcterms:W3CDTF">2014-07-21T13:43:00Z</dcterms:created>
  <dcterms:modified xsi:type="dcterms:W3CDTF">2014-10-10T11:38:00Z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Other</vt:lpwstr>
  </op:property>
  <op:property fmtid="{D5CDD505-2E9C-101B-9397-08002B2CF9AE}" pid="3" name="DC.identifier">
    <vt:lpwstr>LGA</vt:lpwstr>
  </op:property>
  <op:property fmtid="{D5CDD505-2E9C-101B-9397-08002B2CF9AE}" pid="4" name="DC.Author">
    <vt:lpwstr>cathyb</vt:lpwstr>
  </op:property>
  <op:property fmtid="{D5CDD505-2E9C-101B-9397-08002B2CF9AE}" pid="5" name="DC.creator">
    <vt:lpwstr>GSS1\CathyB</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2012-07-05T00:00:00Z</vt:lpwstr>
  </op:property>
  <op:property fmtid="{D5CDD505-2E9C-101B-9397-08002B2CF9AE}" pid="10" name="e-GMS.subject.keyword">
    <vt:lpwstr>LGA Office Holders</vt:lpwstr>
  </op:property>
  <op:property fmtid="{D5CDD505-2E9C-101B-9397-08002B2CF9AE}" pid="11" name="Date">
    <vt:lpwstr>2012-07-05T00:00:00Z</vt:lpwstr>
  </op:property>
  <op:property fmtid="{D5CDD505-2E9C-101B-9397-08002B2CF9AE}" pid="12" name="Title">
    <vt:lpwstr>Item 2 - Apx - 2nd Qtr Perf Report</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